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934" w:rsidRDefault="00383934" w:rsidP="00383934">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383934" w:rsidRDefault="00383934" w:rsidP="00383934">
      <w:pPr>
        <w:autoSpaceDE w:val="0"/>
        <w:autoSpaceDN w:val="0"/>
        <w:adjustRightInd w:val="0"/>
        <w:spacing w:after="0" w:line="240" w:lineRule="auto"/>
        <w:rPr>
          <w:rFonts w:ascii="Tahoma" w:hAnsi="Tahoma" w:cs="Tahoma"/>
          <w:sz w:val="20"/>
          <w:szCs w:val="20"/>
        </w:rPr>
      </w:pPr>
    </w:p>
    <w:p w:rsidR="00383934" w:rsidRDefault="00383934" w:rsidP="00383934">
      <w:pPr>
        <w:autoSpaceDE w:val="0"/>
        <w:autoSpaceDN w:val="0"/>
        <w:adjustRightInd w:val="0"/>
        <w:spacing w:after="0" w:line="240" w:lineRule="auto"/>
        <w:jc w:val="both"/>
        <w:outlineLvl w:val="0"/>
        <w:rPr>
          <w:rFonts w:ascii="Times New Roman" w:hAnsi="Times New Roman" w:cs="Times New Roman"/>
          <w:sz w:val="20"/>
          <w:szCs w:val="20"/>
        </w:rPr>
      </w:pPr>
    </w:p>
    <w:p w:rsidR="00383934" w:rsidRDefault="00383934" w:rsidP="00383934">
      <w:pPr>
        <w:autoSpaceDE w:val="0"/>
        <w:autoSpaceDN w:val="0"/>
        <w:adjustRightInd w:val="0"/>
        <w:spacing w:after="0" w:line="240" w:lineRule="auto"/>
        <w:outlineLvl w:val="0"/>
        <w:rPr>
          <w:rFonts w:ascii="Times New Roman" w:hAnsi="Times New Roman" w:cs="Times New Roman"/>
          <w:sz w:val="20"/>
          <w:szCs w:val="20"/>
        </w:rPr>
      </w:pPr>
      <w:r>
        <w:rPr>
          <w:rFonts w:ascii="Times New Roman" w:hAnsi="Times New Roman" w:cs="Times New Roman"/>
          <w:sz w:val="20"/>
          <w:szCs w:val="20"/>
        </w:rPr>
        <w:t>Зарегистрировано в Минюсте России 25 февраля 2014 г. N 31412</w:t>
      </w:r>
    </w:p>
    <w:p w:rsidR="00383934" w:rsidRDefault="00383934" w:rsidP="0038393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ФЕДЕРАЛЬНАЯ СЛУЖБА ПО ТАРИФАМ</w:t>
      </w:r>
      <w:bookmarkStart w:id="0" w:name="_GoBack"/>
      <w:bookmarkEnd w:id="0"/>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ПРИКАЗ</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от 27 декабря 2013 г. N 1746-э</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 УТВЕРЖДЕНИИ МЕТОДИЧЕСКИХ УКАЗАНИЙ</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 РАСЧЕТУ РЕГУЛИРУЕМЫХ ТАРИФОВ В СФЕРЕ ВОДОСНАБЖЕНИЯ</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 ВОДООТВЕДЕНИЯ</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Приказов ФСТ России от 24.11.2014 </w:t>
            </w:r>
            <w:hyperlink r:id="rId5" w:history="1">
              <w:r>
                <w:rPr>
                  <w:rFonts w:ascii="Times New Roman" w:hAnsi="Times New Roman" w:cs="Times New Roman"/>
                  <w:color w:val="0000FF"/>
                  <w:sz w:val="20"/>
                  <w:szCs w:val="20"/>
                </w:rPr>
                <w:t>N 2054-э</w:t>
              </w:r>
            </w:hyperlink>
            <w:r>
              <w:rPr>
                <w:rFonts w:ascii="Times New Roman" w:hAnsi="Times New Roman" w:cs="Times New Roman"/>
                <w:color w:val="392C69"/>
                <w:sz w:val="20"/>
                <w:szCs w:val="20"/>
              </w:rPr>
              <w:t xml:space="preserve">, от 27.05.2015 </w:t>
            </w:r>
            <w:hyperlink r:id="rId6" w:history="1">
              <w:r>
                <w:rPr>
                  <w:rFonts w:ascii="Times New Roman" w:hAnsi="Times New Roman" w:cs="Times New Roman"/>
                  <w:color w:val="0000FF"/>
                  <w:sz w:val="20"/>
                  <w:szCs w:val="20"/>
                </w:rPr>
                <w:t>N 1080-Э</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Приказов ФАС России от 30.06.2017 </w:t>
            </w:r>
            <w:hyperlink r:id="rId7" w:history="1">
              <w:r>
                <w:rPr>
                  <w:rFonts w:ascii="Times New Roman" w:hAnsi="Times New Roman" w:cs="Times New Roman"/>
                  <w:color w:val="0000FF"/>
                  <w:sz w:val="20"/>
                  <w:szCs w:val="20"/>
                </w:rPr>
                <w:t>N 868/17</w:t>
              </w:r>
            </w:hyperlink>
            <w:r>
              <w:rPr>
                <w:rFonts w:ascii="Times New Roman" w:hAnsi="Times New Roman" w:cs="Times New Roman"/>
                <w:color w:val="392C69"/>
                <w:sz w:val="20"/>
                <w:szCs w:val="20"/>
              </w:rPr>
              <w:t xml:space="preserve">, от 29.08.2017 </w:t>
            </w:r>
            <w:hyperlink r:id="rId8" w:history="1">
              <w:r>
                <w:rPr>
                  <w:rFonts w:ascii="Times New Roman" w:hAnsi="Times New Roman" w:cs="Times New Roman"/>
                  <w:color w:val="0000FF"/>
                  <w:sz w:val="20"/>
                  <w:szCs w:val="20"/>
                </w:rPr>
                <w:t>N 1130/17</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29.08.2018 </w:t>
            </w:r>
            <w:hyperlink r:id="rId9" w:history="1">
              <w:r>
                <w:rPr>
                  <w:rFonts w:ascii="Times New Roman" w:hAnsi="Times New Roman" w:cs="Times New Roman"/>
                  <w:color w:val="0000FF"/>
                  <w:sz w:val="20"/>
                  <w:szCs w:val="20"/>
                </w:rPr>
                <w:t>N 1216/18</w:t>
              </w:r>
            </w:hyperlink>
            <w:r>
              <w:rPr>
                <w:rFonts w:ascii="Times New Roman" w:hAnsi="Times New Roman" w:cs="Times New Roman"/>
                <w:color w:val="392C69"/>
                <w:sz w:val="20"/>
                <w:szCs w:val="20"/>
              </w:rPr>
              <w:t xml:space="preserve">, от 29.10.2019 </w:t>
            </w:r>
            <w:hyperlink r:id="rId10" w:history="1">
              <w:r>
                <w:rPr>
                  <w:rFonts w:ascii="Times New Roman" w:hAnsi="Times New Roman" w:cs="Times New Roman"/>
                  <w:color w:val="0000FF"/>
                  <w:sz w:val="20"/>
                  <w:szCs w:val="20"/>
                </w:rPr>
                <w:t>N 1438/19</w:t>
              </w:r>
            </w:hyperlink>
            <w:r>
              <w:rPr>
                <w:rFonts w:ascii="Times New Roman" w:hAnsi="Times New Roman" w:cs="Times New Roman"/>
                <w:color w:val="392C69"/>
                <w:sz w:val="20"/>
                <w:szCs w:val="20"/>
              </w:rPr>
              <w:t xml:space="preserve">, от 08.10.2020 </w:t>
            </w:r>
            <w:hyperlink r:id="rId11" w:history="1">
              <w:r>
                <w:rPr>
                  <w:rFonts w:ascii="Times New Roman" w:hAnsi="Times New Roman" w:cs="Times New Roman"/>
                  <w:color w:val="0000FF"/>
                  <w:sz w:val="20"/>
                  <w:szCs w:val="20"/>
                </w:rPr>
                <w:t>N 976/20</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11.03.2022 </w:t>
            </w:r>
            <w:hyperlink r:id="rId12" w:history="1">
              <w:r>
                <w:rPr>
                  <w:rFonts w:ascii="Times New Roman" w:hAnsi="Times New Roman" w:cs="Times New Roman"/>
                  <w:color w:val="0000FF"/>
                  <w:sz w:val="20"/>
                  <w:szCs w:val="20"/>
                </w:rPr>
                <w:t>N 201/22</w:t>
              </w:r>
            </w:hyperlink>
            <w:r>
              <w:rPr>
                <w:rFonts w:ascii="Times New Roman" w:hAnsi="Times New Roman" w:cs="Times New Roman"/>
                <w:color w:val="392C69"/>
                <w:sz w:val="20"/>
                <w:szCs w:val="20"/>
              </w:rPr>
              <w:t xml:space="preserve">, от 11.05.2022 </w:t>
            </w:r>
            <w:hyperlink r:id="rId13" w:history="1">
              <w:r>
                <w:rPr>
                  <w:rFonts w:ascii="Times New Roman" w:hAnsi="Times New Roman" w:cs="Times New Roman"/>
                  <w:color w:val="0000FF"/>
                  <w:sz w:val="20"/>
                  <w:szCs w:val="20"/>
                </w:rPr>
                <w:t>N 350/22</w:t>
              </w:r>
            </w:hyperlink>
            <w:r>
              <w:rPr>
                <w:rFonts w:ascii="Times New Roman" w:hAnsi="Times New Roman" w:cs="Times New Roman"/>
                <w:color w:val="392C69"/>
                <w:sz w:val="20"/>
                <w:szCs w:val="20"/>
              </w:rPr>
              <w:t xml:space="preserve">, от 24.06.2022 </w:t>
            </w:r>
            <w:hyperlink r:id="rId14" w:history="1">
              <w:r>
                <w:rPr>
                  <w:rFonts w:ascii="Times New Roman" w:hAnsi="Times New Roman" w:cs="Times New Roman"/>
                  <w:color w:val="0000FF"/>
                  <w:sz w:val="20"/>
                  <w:szCs w:val="20"/>
                </w:rPr>
                <w:t>N 478/22</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05.07.2022 </w:t>
            </w:r>
            <w:hyperlink r:id="rId15" w:history="1">
              <w:r>
                <w:rPr>
                  <w:rFonts w:ascii="Times New Roman" w:hAnsi="Times New Roman" w:cs="Times New Roman"/>
                  <w:color w:val="0000FF"/>
                  <w:sz w:val="20"/>
                  <w:szCs w:val="20"/>
                </w:rPr>
                <w:t>N 498/22</w:t>
              </w:r>
            </w:hyperlink>
            <w:r>
              <w:rPr>
                <w:rFonts w:ascii="Times New Roman" w:hAnsi="Times New Roman" w:cs="Times New Roman"/>
                <w:color w:val="392C69"/>
                <w:sz w:val="20"/>
                <w:szCs w:val="20"/>
              </w:rPr>
              <w:t xml:space="preserve">, от 14.06.2023 </w:t>
            </w:r>
            <w:hyperlink r:id="rId16" w:history="1">
              <w:r>
                <w:rPr>
                  <w:rFonts w:ascii="Times New Roman" w:hAnsi="Times New Roman" w:cs="Times New Roman"/>
                  <w:color w:val="0000FF"/>
                  <w:sz w:val="20"/>
                  <w:szCs w:val="20"/>
                </w:rPr>
                <w:t>N 384/23</w:t>
              </w:r>
            </w:hyperlink>
            <w:r>
              <w:rPr>
                <w:rFonts w:ascii="Times New Roman" w:hAnsi="Times New Roman" w:cs="Times New Roman"/>
                <w:color w:val="392C69"/>
                <w:sz w:val="20"/>
                <w:szCs w:val="20"/>
              </w:rPr>
              <w:t xml:space="preserve">, от 27.05.2024 </w:t>
            </w:r>
            <w:hyperlink r:id="rId17" w:history="1">
              <w:r>
                <w:rPr>
                  <w:rFonts w:ascii="Times New Roman" w:hAnsi="Times New Roman" w:cs="Times New Roman"/>
                  <w:color w:val="0000FF"/>
                  <w:sz w:val="20"/>
                  <w:szCs w:val="20"/>
                </w:rPr>
                <w:t>N 363/24</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соответствии с Федеральным </w:t>
      </w:r>
      <w:hyperlink r:id="rId1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7 декабря 2011 г. N 416-ФЗ "О водоснабжении и водоотведении" (Собрание законодательства Российской Федерации, 2011, N 50, ст. 7358; 2012, N 53 (часть I), ст. 7614; ст. 7616; ст. 7643; 2013, N 19, ст. 2330; 2013, N 30 (часть I), ст. 4077), </w:t>
      </w:r>
      <w:hyperlink r:id="rId1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2013, N 32, ст. 4306) приказываю: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Утвердить прилагаемые Методические </w:t>
      </w:r>
      <w:hyperlink w:anchor="Par36" w:history="1">
        <w:r>
          <w:rPr>
            <w:rFonts w:ascii="Times New Roman" w:hAnsi="Times New Roman" w:cs="Times New Roman"/>
            <w:color w:val="0000FF"/>
            <w:sz w:val="20"/>
            <w:szCs w:val="20"/>
          </w:rPr>
          <w:t>указания</w:t>
        </w:r>
      </w:hyperlink>
      <w:r>
        <w:rPr>
          <w:rFonts w:ascii="Times New Roman" w:hAnsi="Times New Roman" w:cs="Times New Roman"/>
          <w:sz w:val="20"/>
          <w:szCs w:val="20"/>
        </w:rPr>
        <w:t xml:space="preserve"> по расчету регулируемых тарифов в сфере водоснабжения и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Настоящий приказ действует до 1 марта 2029 г.</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w:t>
      </w:r>
      <w:hyperlink r:id="rId2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14.06.2023 N 384/23)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Руководитель</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Федеральной службы по тарифам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С.НОВИКОВ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Приложение</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приказу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________ 2013 г. N ____</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bookmarkStart w:id="1" w:name="Par36"/>
      <w:bookmarkEnd w:id="1"/>
      <w:r>
        <w:rPr>
          <w:rFonts w:ascii="Times New Roman" w:hAnsi="Times New Roman" w:cs="Times New Roman"/>
          <w:b/>
          <w:bCs/>
          <w:sz w:val="20"/>
          <w:szCs w:val="20"/>
        </w:rPr>
        <w:t>МЕТОДИЧЕСКИЕ УКАЗАНИЯ</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 РАСЧЕТУ РЕГУЛИРУЕМЫХ ТАРИФОВ В СФЕРЕ ВОДОСНАБЖЕНИЯ</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 ВОДООТВЕДЕНИЯ</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Приказов ФСТ России от 24.11.2014 </w:t>
            </w:r>
            <w:hyperlink r:id="rId21" w:history="1">
              <w:r>
                <w:rPr>
                  <w:rFonts w:ascii="Times New Roman" w:hAnsi="Times New Roman" w:cs="Times New Roman"/>
                  <w:color w:val="0000FF"/>
                  <w:sz w:val="20"/>
                  <w:szCs w:val="20"/>
                </w:rPr>
                <w:t>N 2054-э</w:t>
              </w:r>
            </w:hyperlink>
            <w:r>
              <w:rPr>
                <w:rFonts w:ascii="Times New Roman" w:hAnsi="Times New Roman" w:cs="Times New Roman"/>
                <w:color w:val="392C69"/>
                <w:sz w:val="20"/>
                <w:szCs w:val="20"/>
              </w:rPr>
              <w:t xml:space="preserve">, от 27.05.2015 </w:t>
            </w:r>
            <w:hyperlink r:id="rId22" w:history="1">
              <w:r>
                <w:rPr>
                  <w:rFonts w:ascii="Times New Roman" w:hAnsi="Times New Roman" w:cs="Times New Roman"/>
                  <w:color w:val="0000FF"/>
                  <w:sz w:val="20"/>
                  <w:szCs w:val="20"/>
                </w:rPr>
                <w:t>N 1080-Э</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Приказов ФАС России от 30.06.2017 </w:t>
            </w:r>
            <w:hyperlink r:id="rId23" w:history="1">
              <w:r>
                <w:rPr>
                  <w:rFonts w:ascii="Times New Roman" w:hAnsi="Times New Roman" w:cs="Times New Roman"/>
                  <w:color w:val="0000FF"/>
                  <w:sz w:val="20"/>
                  <w:szCs w:val="20"/>
                </w:rPr>
                <w:t>N 868/17</w:t>
              </w:r>
            </w:hyperlink>
            <w:r>
              <w:rPr>
                <w:rFonts w:ascii="Times New Roman" w:hAnsi="Times New Roman" w:cs="Times New Roman"/>
                <w:color w:val="392C69"/>
                <w:sz w:val="20"/>
                <w:szCs w:val="20"/>
              </w:rPr>
              <w:t xml:space="preserve">, от 29.08.2017 </w:t>
            </w:r>
            <w:hyperlink r:id="rId24" w:history="1">
              <w:r>
                <w:rPr>
                  <w:rFonts w:ascii="Times New Roman" w:hAnsi="Times New Roman" w:cs="Times New Roman"/>
                  <w:color w:val="0000FF"/>
                  <w:sz w:val="20"/>
                  <w:szCs w:val="20"/>
                </w:rPr>
                <w:t>N 1130/17</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29.08.2018 </w:t>
            </w:r>
            <w:hyperlink r:id="rId25" w:history="1">
              <w:r>
                <w:rPr>
                  <w:rFonts w:ascii="Times New Roman" w:hAnsi="Times New Roman" w:cs="Times New Roman"/>
                  <w:color w:val="0000FF"/>
                  <w:sz w:val="20"/>
                  <w:szCs w:val="20"/>
                </w:rPr>
                <w:t>N 1216/18</w:t>
              </w:r>
            </w:hyperlink>
            <w:r>
              <w:rPr>
                <w:rFonts w:ascii="Times New Roman" w:hAnsi="Times New Roman" w:cs="Times New Roman"/>
                <w:color w:val="392C69"/>
                <w:sz w:val="20"/>
                <w:szCs w:val="20"/>
              </w:rPr>
              <w:t xml:space="preserve">, от 29.10.2019 </w:t>
            </w:r>
            <w:hyperlink r:id="rId26" w:history="1">
              <w:r>
                <w:rPr>
                  <w:rFonts w:ascii="Times New Roman" w:hAnsi="Times New Roman" w:cs="Times New Roman"/>
                  <w:color w:val="0000FF"/>
                  <w:sz w:val="20"/>
                  <w:szCs w:val="20"/>
                </w:rPr>
                <w:t>N 1438/19</w:t>
              </w:r>
            </w:hyperlink>
            <w:r>
              <w:rPr>
                <w:rFonts w:ascii="Times New Roman" w:hAnsi="Times New Roman" w:cs="Times New Roman"/>
                <w:color w:val="392C69"/>
                <w:sz w:val="20"/>
                <w:szCs w:val="20"/>
              </w:rPr>
              <w:t xml:space="preserve">, от 08.10.2020 </w:t>
            </w:r>
            <w:hyperlink r:id="rId27" w:history="1">
              <w:r>
                <w:rPr>
                  <w:rFonts w:ascii="Times New Roman" w:hAnsi="Times New Roman" w:cs="Times New Roman"/>
                  <w:color w:val="0000FF"/>
                  <w:sz w:val="20"/>
                  <w:szCs w:val="20"/>
                </w:rPr>
                <w:t>N 976/20</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11.03.2022 </w:t>
            </w:r>
            <w:hyperlink r:id="rId28" w:history="1">
              <w:r>
                <w:rPr>
                  <w:rFonts w:ascii="Times New Roman" w:hAnsi="Times New Roman" w:cs="Times New Roman"/>
                  <w:color w:val="0000FF"/>
                  <w:sz w:val="20"/>
                  <w:szCs w:val="20"/>
                </w:rPr>
                <w:t>N 201/22</w:t>
              </w:r>
            </w:hyperlink>
            <w:r>
              <w:rPr>
                <w:rFonts w:ascii="Times New Roman" w:hAnsi="Times New Roman" w:cs="Times New Roman"/>
                <w:color w:val="392C69"/>
                <w:sz w:val="20"/>
                <w:szCs w:val="20"/>
              </w:rPr>
              <w:t xml:space="preserve">, от 11.05.2022 </w:t>
            </w:r>
            <w:hyperlink r:id="rId29" w:history="1">
              <w:r>
                <w:rPr>
                  <w:rFonts w:ascii="Times New Roman" w:hAnsi="Times New Roman" w:cs="Times New Roman"/>
                  <w:color w:val="0000FF"/>
                  <w:sz w:val="20"/>
                  <w:szCs w:val="20"/>
                </w:rPr>
                <w:t>N 350/22</w:t>
              </w:r>
            </w:hyperlink>
            <w:r>
              <w:rPr>
                <w:rFonts w:ascii="Times New Roman" w:hAnsi="Times New Roman" w:cs="Times New Roman"/>
                <w:color w:val="392C69"/>
                <w:sz w:val="20"/>
                <w:szCs w:val="20"/>
              </w:rPr>
              <w:t xml:space="preserve">, от 24.06.2022 </w:t>
            </w:r>
            <w:hyperlink r:id="rId30" w:history="1">
              <w:r>
                <w:rPr>
                  <w:rFonts w:ascii="Times New Roman" w:hAnsi="Times New Roman" w:cs="Times New Roman"/>
                  <w:color w:val="0000FF"/>
                  <w:sz w:val="20"/>
                  <w:szCs w:val="20"/>
                </w:rPr>
                <w:t>N 478/22</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05.07.2022 </w:t>
            </w:r>
            <w:hyperlink r:id="rId31" w:history="1">
              <w:r>
                <w:rPr>
                  <w:rFonts w:ascii="Times New Roman" w:hAnsi="Times New Roman" w:cs="Times New Roman"/>
                  <w:color w:val="0000FF"/>
                  <w:sz w:val="20"/>
                  <w:szCs w:val="20"/>
                </w:rPr>
                <w:t>N 498/22</w:t>
              </w:r>
            </w:hyperlink>
            <w:r>
              <w:rPr>
                <w:rFonts w:ascii="Times New Roman" w:hAnsi="Times New Roman" w:cs="Times New Roman"/>
                <w:color w:val="392C69"/>
                <w:sz w:val="20"/>
                <w:szCs w:val="20"/>
              </w:rPr>
              <w:t xml:space="preserve">, от 14.06.2023 </w:t>
            </w:r>
            <w:hyperlink r:id="rId32" w:history="1">
              <w:r>
                <w:rPr>
                  <w:rFonts w:ascii="Times New Roman" w:hAnsi="Times New Roman" w:cs="Times New Roman"/>
                  <w:color w:val="0000FF"/>
                  <w:sz w:val="20"/>
                  <w:szCs w:val="20"/>
                </w:rPr>
                <w:t>N 384/23</w:t>
              </w:r>
            </w:hyperlink>
            <w:r>
              <w:rPr>
                <w:rFonts w:ascii="Times New Roman" w:hAnsi="Times New Roman" w:cs="Times New Roman"/>
                <w:color w:val="392C69"/>
                <w:sz w:val="20"/>
                <w:szCs w:val="20"/>
              </w:rPr>
              <w:t xml:space="preserve">, от 27.05.2024 </w:t>
            </w:r>
            <w:hyperlink r:id="rId33" w:history="1">
              <w:r>
                <w:rPr>
                  <w:rFonts w:ascii="Times New Roman" w:hAnsi="Times New Roman" w:cs="Times New Roman"/>
                  <w:color w:val="0000FF"/>
                  <w:sz w:val="20"/>
                  <w:szCs w:val="20"/>
                </w:rPr>
                <w:t>N 363/24</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 Общие положения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Настоящие Методические указания по расчету регулируемых тарифов в сфере водоснабжения и водоотведения (далее - Методические указания) разработаны в соответствии с Федеральным </w:t>
      </w:r>
      <w:hyperlink r:id="rId3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7 декабря 2011 г. N 416-ФЗ "О водоснабжении и водоотведении" (Собрание законодательства Российской </w:t>
      </w:r>
      <w:r>
        <w:rPr>
          <w:rFonts w:ascii="Times New Roman" w:hAnsi="Times New Roman" w:cs="Times New Roman"/>
          <w:sz w:val="20"/>
          <w:szCs w:val="20"/>
        </w:rPr>
        <w:lastRenderedPageBreak/>
        <w:t xml:space="preserve">Федерации, 2011, N 50, ст. 7358; 2012, N 53 (часть I), ст. 7614; ст. 7616; ст. 7643; 2013, N 19, ст. 2330; N 30 (часть I), ст. 4077), </w:t>
      </w:r>
      <w:hyperlink r:id="rId35"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в сфере водоснабжения и водоотведения (далее - Основы ценообразования) и </w:t>
      </w:r>
      <w:hyperlink r:id="rId36"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 в сфере водоснабжения и водоотведения (далее - Правила регулирования),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N 32, ст. 4306).</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Методические указания предназначены для использования федеральным органом исполнительной власти в области регулирования тарифов, органами исполнительной власти субъектов Российской Федерации и органами местного самоуправления, в случае наделения их соответствующими полномочиями, организациями, осуществляющими регулируемые виды деятельности в сфере водоснабжения и водоотведения (далее - органы регулирования тарифов, регулируемые организации соответственно).</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Тарифы на питьевую воду (питьевое водоснабжение), техническую воду, транспортировку холодной воды, водоотведение и транспортировку сточных вод рассчитываются в виде одного из следующих вариантов: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одноставочных;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двухставочных;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многоставочных тарифов (дифференцированных по объемам потребления воды).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3.1. Тарифы на транспортировку холодной и горячей воды, сточных вод организациям, не соответствующим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предусмотренным </w:t>
      </w:r>
      <w:hyperlink r:id="rId37"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горячего водоснабжения, утвержденными постановлением Правительства Российской Федерации от 29 июля 2013 г. N 642 (Собрание законодательства Российской Федерации, 2013, N 32, ст. 4304; 2021, N 49, ст. 8316), и </w:t>
      </w:r>
      <w:hyperlink r:id="rId38"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холодного водоснабжения и водоотведения, утвержденными постановлением Правительства Российской Федерации от 29 июля 2013 г. N 644 (Собрание законодательства Российской Федерации, 2013, N 32, ст. 4306; 2021, N 49, ст. 8316) (далее - критерии отнесения к транзитным организациям), не устанавливаются.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Тарифы на транспортировку холодной и горячей воды, сточных вод, установленные организациям, не соответствующим критериям отнесения к транзитным организациям, не применяются такими организациями и подлежат отмене органами регулирования тарифов с 1 сентября 2022 г. (</w:t>
      </w:r>
      <w:hyperlink r:id="rId39" w:history="1">
        <w:r>
          <w:rPr>
            <w:rFonts w:ascii="Times New Roman" w:hAnsi="Times New Roman" w:cs="Times New Roman"/>
            <w:color w:val="0000FF"/>
            <w:sz w:val="20"/>
            <w:szCs w:val="20"/>
          </w:rPr>
          <w:t>пункт 8</w:t>
        </w:r>
      </w:hyperlink>
      <w:r>
        <w:rPr>
          <w:rFonts w:ascii="Times New Roman" w:hAnsi="Times New Roman" w:cs="Times New Roman"/>
          <w:sz w:val="20"/>
          <w:szCs w:val="20"/>
        </w:rP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2021, N 49, ст. 8213).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3.1 введен </w:t>
      </w:r>
      <w:hyperlink r:id="rId40"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11.03.2022 N 201/22)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 w:name="Par57"/>
      <w:bookmarkEnd w:id="2"/>
      <w:r>
        <w:rPr>
          <w:rFonts w:ascii="Times New Roman" w:hAnsi="Times New Roman" w:cs="Times New Roman"/>
          <w:sz w:val="20"/>
          <w:szCs w:val="20"/>
        </w:rPr>
        <w:t xml:space="preserve">3.2. При установлении (корректировке) в 2022 и 2023 годах тарифов регулируемых организаций в сфере водоснабжения и водоотведения не применяются предложение третье </w:t>
      </w:r>
      <w:hyperlink w:anchor="Par207" w:history="1">
        <w:r>
          <w:rPr>
            <w:rFonts w:ascii="Times New Roman" w:hAnsi="Times New Roman" w:cs="Times New Roman"/>
            <w:color w:val="0000FF"/>
            <w:sz w:val="20"/>
            <w:szCs w:val="20"/>
          </w:rPr>
          <w:t>пункта 28</w:t>
        </w:r>
      </w:hyperlink>
      <w:r>
        <w:rPr>
          <w:rFonts w:ascii="Times New Roman" w:hAnsi="Times New Roman" w:cs="Times New Roman"/>
          <w:sz w:val="20"/>
          <w:szCs w:val="20"/>
        </w:rPr>
        <w:t xml:space="preserve">, </w:t>
      </w:r>
      <w:hyperlink w:anchor="Par754" w:history="1">
        <w:r>
          <w:rPr>
            <w:rFonts w:ascii="Times New Roman" w:hAnsi="Times New Roman" w:cs="Times New Roman"/>
            <w:color w:val="0000FF"/>
            <w:sz w:val="20"/>
            <w:szCs w:val="20"/>
          </w:rPr>
          <w:t>абзацы пятнадцать</w:t>
        </w:r>
      </w:hyperlink>
      <w:r>
        <w:rPr>
          <w:rFonts w:ascii="Times New Roman" w:hAnsi="Times New Roman" w:cs="Times New Roman"/>
          <w:sz w:val="20"/>
          <w:szCs w:val="20"/>
        </w:rPr>
        <w:t xml:space="preserve"> и </w:t>
      </w:r>
      <w:hyperlink w:anchor="Par756" w:history="1">
        <w:r>
          <w:rPr>
            <w:rFonts w:ascii="Times New Roman" w:hAnsi="Times New Roman" w:cs="Times New Roman"/>
            <w:color w:val="0000FF"/>
            <w:sz w:val="20"/>
            <w:szCs w:val="20"/>
          </w:rPr>
          <w:t>шестнадцать пункта 90</w:t>
        </w:r>
      </w:hyperlink>
      <w:r>
        <w:rPr>
          <w:rFonts w:ascii="Times New Roman" w:hAnsi="Times New Roman" w:cs="Times New Roman"/>
          <w:sz w:val="20"/>
          <w:szCs w:val="20"/>
        </w:rPr>
        <w:t xml:space="preserve">, </w:t>
      </w:r>
      <w:hyperlink w:anchor="Par781" w:history="1">
        <w:r>
          <w:rPr>
            <w:rFonts w:ascii="Times New Roman" w:hAnsi="Times New Roman" w:cs="Times New Roman"/>
            <w:color w:val="0000FF"/>
            <w:sz w:val="20"/>
            <w:szCs w:val="20"/>
          </w:rPr>
          <w:t>пункты 92</w:t>
        </w:r>
      </w:hyperlink>
      <w:r>
        <w:rPr>
          <w:rFonts w:ascii="Times New Roman" w:hAnsi="Times New Roman" w:cs="Times New Roman"/>
          <w:sz w:val="20"/>
          <w:szCs w:val="20"/>
        </w:rPr>
        <w:t xml:space="preserve"> и </w:t>
      </w:r>
      <w:hyperlink w:anchor="Par790" w:history="1">
        <w:r>
          <w:rPr>
            <w:rFonts w:ascii="Times New Roman" w:hAnsi="Times New Roman" w:cs="Times New Roman"/>
            <w:color w:val="0000FF"/>
            <w:sz w:val="20"/>
            <w:szCs w:val="20"/>
          </w:rPr>
          <w:t>93</w:t>
        </w:r>
      </w:hyperlink>
      <w:r>
        <w:rPr>
          <w:rFonts w:ascii="Times New Roman" w:hAnsi="Times New Roman" w:cs="Times New Roman"/>
          <w:sz w:val="20"/>
          <w:szCs w:val="20"/>
        </w:rPr>
        <w:t xml:space="preserve"> настоящих Методических указаний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с последующим учетом такой корректировки на 2025 год.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неиспользования регулируемой организацией средств на создание и (или) реконструкцию, модернизацию объекта концессионного соглашения и (или) реализацию инвестиционной программы </w:t>
      </w:r>
      <w:hyperlink w:anchor="Par57" w:history="1">
        <w:r>
          <w:rPr>
            <w:rFonts w:ascii="Times New Roman" w:hAnsi="Times New Roman" w:cs="Times New Roman"/>
            <w:color w:val="0000FF"/>
            <w:sz w:val="20"/>
            <w:szCs w:val="20"/>
          </w:rPr>
          <w:t>пункт 3.2</w:t>
        </w:r>
      </w:hyperlink>
      <w:r>
        <w:rPr>
          <w:rFonts w:ascii="Times New Roman" w:hAnsi="Times New Roman" w:cs="Times New Roman"/>
          <w:sz w:val="20"/>
          <w:szCs w:val="20"/>
        </w:rPr>
        <w:t xml:space="preserve"> настоящих Методических указаний применяется, если указанные средства были использованы регулируемой организацией для осуществления регулируемой деятельности.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3.2 введен </w:t>
      </w:r>
      <w:hyperlink r:id="rId41"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11.05.2022 N 350/22)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3.3. Для целей установления тарифов в сфере водоснабжения и водоотведения расходы на строительство, реконструкцию и модернизацию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(п. 3.3 введен </w:t>
      </w:r>
      <w:hyperlink r:id="rId42"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24.06.2022 N 478/22)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bookmarkStart w:id="3" w:name="Par63"/>
      <w:bookmarkEnd w:id="3"/>
      <w:r>
        <w:rPr>
          <w:rFonts w:ascii="Times New Roman" w:hAnsi="Times New Roman" w:cs="Times New Roman"/>
          <w:b/>
          <w:bCs/>
          <w:sz w:val="20"/>
          <w:szCs w:val="20"/>
        </w:rPr>
        <w:t>II. Определение объема отпуска воды, принятых сточных</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вод, используемых для расчета тарифов в сфере водоснабжения</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 водоотведения (баланс водоснабжения и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Расчетный объем отпуска воды, объем принятых сточных вод, оказываемых услуг определяются в соответствии с </w:t>
      </w:r>
      <w:hyperlink w:anchor="Par1109" w:history="1">
        <w:r>
          <w:rPr>
            <w:rFonts w:ascii="Times New Roman" w:hAnsi="Times New Roman" w:cs="Times New Roman"/>
            <w:color w:val="0000FF"/>
            <w:sz w:val="20"/>
            <w:szCs w:val="20"/>
          </w:rPr>
          <w:t>Приложениями 1</w:t>
        </w:r>
      </w:hyperlink>
      <w:r>
        <w:rPr>
          <w:rFonts w:ascii="Times New Roman" w:hAnsi="Times New Roman" w:cs="Times New Roman"/>
          <w:sz w:val="20"/>
          <w:szCs w:val="20"/>
        </w:rPr>
        <w:t xml:space="preserve">, </w:t>
      </w:r>
      <w:hyperlink w:anchor="Par2089" w:history="1">
        <w:r>
          <w:rPr>
            <w:rFonts w:ascii="Times New Roman" w:hAnsi="Times New Roman" w:cs="Times New Roman"/>
            <w:color w:val="0000FF"/>
            <w:sz w:val="20"/>
            <w:szCs w:val="20"/>
          </w:rPr>
          <w:t>1.1</w:t>
        </w:r>
      </w:hyperlink>
      <w:r>
        <w:rPr>
          <w:rFonts w:ascii="Times New Roman" w:hAnsi="Times New Roman" w:cs="Times New Roman"/>
          <w:sz w:val="20"/>
          <w:szCs w:val="20"/>
        </w:rPr>
        <w:t xml:space="preserve"> к настоящим Методическим указаниям на очередной год и каждый год в течение долгосрочного периода регулирования (при установлении тарифов на долгосрочный период регулирования), исходя из фактического объема отпуска воды (приема сточных вод) за последний отчетный год и динамики отпуска воды (приема сточных вод) за последние 3 года, в том числе с учетом подключения (технологического присоединения) объектов потребителей к централизованным системам водоснабжения и (или) водоотведения и прекращения подачи воды (приема сточных вод) в отношении объектов потребителей, а также изменения порядка определения количества поданной воды (принятых сточных вод), включая переход от применения расчетных способов определения количества поданной воды (принятых сточных вод) к использованию приборов учета воды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Объем воды, отпускаемой (планируемой к отпуску) абонентам, определяется отдельно в отношении питьевой воды, технической воды, горячей воды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4" w:name="Par70"/>
      <w:bookmarkEnd w:id="4"/>
      <w:r>
        <w:rPr>
          <w:rFonts w:ascii="Times New Roman" w:hAnsi="Times New Roman" w:cs="Times New Roman"/>
          <w:noProof/>
          <w:position w:val="-9"/>
          <w:sz w:val="20"/>
          <w:szCs w:val="20"/>
          <w:lang w:eastAsia="ru-RU"/>
        </w:rPr>
        <w:drawing>
          <wp:inline distT="0" distB="0" distL="0" distR="0" wp14:anchorId="02B882E0" wp14:editId="7B8178C7">
            <wp:extent cx="2047875" cy="257175"/>
            <wp:effectExtent l="0" t="0" r="9525"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47875" cy="257175"/>
                    </a:xfrm>
                    <a:prstGeom prst="rect">
                      <a:avLst/>
                    </a:prstGeom>
                    <a:noFill/>
                    <a:ln>
                      <a:noFill/>
                    </a:ln>
                  </pic:spPr>
                </pic:pic>
              </a:graphicData>
            </a:graphic>
          </wp:inline>
        </w:drawing>
      </w:r>
      <w:r>
        <w:rPr>
          <w:rFonts w:ascii="Times New Roman" w:hAnsi="Times New Roman" w:cs="Times New Roman"/>
          <w:sz w:val="20"/>
          <w:szCs w:val="20"/>
        </w:rPr>
        <w:t>, (1)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5" w:name="Par72"/>
      <w:bookmarkEnd w:id="5"/>
      <w:r>
        <w:rPr>
          <w:rFonts w:ascii="Times New Roman" w:hAnsi="Times New Roman" w:cs="Times New Roman"/>
          <w:noProof/>
          <w:position w:val="-26"/>
          <w:sz w:val="20"/>
          <w:szCs w:val="20"/>
          <w:lang w:eastAsia="ru-RU"/>
        </w:rPr>
        <w:drawing>
          <wp:inline distT="0" distB="0" distL="0" distR="0" wp14:anchorId="31036D59" wp14:editId="6B86ADE5">
            <wp:extent cx="2276475" cy="457200"/>
            <wp:effectExtent l="0" t="0" r="952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6475" cy="457200"/>
                    </a:xfrm>
                    <a:prstGeom prst="rect">
                      <a:avLst/>
                    </a:prstGeom>
                    <a:noFill/>
                    <a:ln>
                      <a:noFill/>
                    </a:ln>
                  </pic:spPr>
                </pic:pic>
              </a:graphicData>
            </a:graphic>
          </wp:inline>
        </w:drawing>
      </w:r>
      <w:r>
        <w:rPr>
          <w:rFonts w:ascii="Times New Roman" w:hAnsi="Times New Roman" w:cs="Times New Roman"/>
          <w:sz w:val="20"/>
          <w:szCs w:val="20"/>
        </w:rPr>
        <w:t>, (1.1)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8CA1DBC" wp14:editId="6CE36C5E">
            <wp:extent cx="190500" cy="2286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объем воды, отпускаемой абонентам (планируемой к отпуску) в году i, тыс.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BC13F64" wp14:editId="6FA9D93C">
            <wp:extent cx="257175" cy="238125"/>
            <wp:effectExtent l="0" t="0" r="952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Pr>
          <w:rFonts w:ascii="Times New Roman" w:hAnsi="Times New Roman" w:cs="Times New Roman"/>
          <w:sz w:val="20"/>
          <w:szCs w:val="20"/>
        </w:rPr>
        <w:t xml:space="preserve"> - расчетный объем воды, отпускаемой новым абонентам, подключившимся к централизованной системе водоснабжения в году i, за вычетом потребления воды абонентами, водоснабжение которых прекращено (планируется прекратить), тыс. куб. м. Указанная величина может принимать, в том числе, отрицательные значения;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1FFC104" wp14:editId="2B9C97C9">
            <wp:extent cx="304800" cy="238125"/>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rFonts w:ascii="Times New Roman" w:hAnsi="Times New Roman" w:cs="Times New Roman"/>
          <w:sz w:val="20"/>
          <w:szCs w:val="20"/>
        </w:rPr>
        <w:t xml:space="preserve"> - планируемое в году i изменение (снижение) объема воды, отпускаемой гарантирующей организацией абонентам по отношению к году i-1, связанное с изменением нормативов потребления воды, тыс. куб. м. Указанная величина может принимать как положительные, так и отрицательные значения;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7"/>
          <w:sz w:val="20"/>
          <w:szCs w:val="20"/>
          <w:lang w:eastAsia="ru-RU"/>
        </w:rPr>
        <w:drawing>
          <wp:inline distT="0" distB="0" distL="0" distR="0" wp14:anchorId="3177D1FD" wp14:editId="5CBF93D3">
            <wp:extent cx="142875" cy="228600"/>
            <wp:effectExtent l="0" t="0" r="952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Pr>
          <w:rFonts w:ascii="Times New Roman" w:hAnsi="Times New Roman" w:cs="Times New Roman"/>
          <w:sz w:val="20"/>
          <w:szCs w:val="20"/>
        </w:rPr>
        <w:t xml:space="preserve"> - темп изменения (снижения) потребления воды. В случае, если данные об объеме отпуска воды в предыдущие годы недоступны, темп изменения (снижения) потребления воды рассчитывается без учета этих лет. Темп изменения (снижения) потребления воды не должен превышать 5 процентов в год.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расчете объема воды, отпускаемой абонентам, на очередной год используются расчетные объемы отпуска воды за текущий год и фактические объемы отпуска воды за предшествующие три года, определяемые органом регулирования с учетом представленной регулируемыми организациями информации в соответствии со </w:t>
      </w:r>
      <w:hyperlink r:id="rId49" w:history="1">
        <w:r>
          <w:rPr>
            <w:rFonts w:ascii="Times New Roman" w:hAnsi="Times New Roman" w:cs="Times New Roman"/>
            <w:color w:val="0000FF"/>
            <w:sz w:val="20"/>
            <w:szCs w:val="20"/>
          </w:rPr>
          <w:t>Стандартами</w:t>
        </w:r>
      </w:hyperlink>
      <w:r>
        <w:rPr>
          <w:rFonts w:ascii="Times New Roman" w:hAnsi="Times New Roman" w:cs="Times New Roman"/>
          <w:sz w:val="20"/>
          <w:szCs w:val="20"/>
        </w:rPr>
        <w:t xml:space="preserve"> раскрытия информации организациями коммунального комплекса, утвержденными постановлением Правительства Российской Федерации от 30 декабря 2009 г. N 1140 (Собрание законодательства Российской Федерации, 2010, N 3, ст. 302; 2013, N 3, ст. 205; N 28, ст. 3835), </w:t>
      </w:r>
      <w:hyperlink r:id="rId50" w:history="1">
        <w:r>
          <w:rPr>
            <w:rFonts w:ascii="Times New Roman" w:hAnsi="Times New Roman" w:cs="Times New Roman"/>
            <w:color w:val="0000FF"/>
            <w:sz w:val="20"/>
            <w:szCs w:val="20"/>
          </w:rPr>
          <w:t>Стандартами</w:t>
        </w:r>
      </w:hyperlink>
      <w:r>
        <w:rPr>
          <w:rFonts w:ascii="Times New Roman" w:hAnsi="Times New Roman" w:cs="Times New Roman"/>
          <w:sz w:val="20"/>
          <w:szCs w:val="20"/>
        </w:rPr>
        <w:t xml:space="preserve"> раскрытия информации в сфере водоснабжения и водоотведения, утвержденными постановлением Правительства Российской Федерации от 17 января 2013 г. N 6 (Собрание законодательства Российской Федерации, 2013, N 3, ст. 205).</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Объем отпуска воды, определяемый в целях установления тарифов для регулируемых организаций, ранее не осуществлявших регулируемые виды деятельности в сфере водоснабжения, определяется исходя из фактических объемов и динамики отпуска воды организации, ранее осуществлявшей такую деятельность в централизованной системе холодного водоснабжения и (или) горячего водоснабжения, и заключенных организацией договоров водоснабжения, единых договоров водоснабжения и водоотведения. При создании новых объектов централизованных систем водоснабжения объем отпуска (транспортировки) воды определяется расчетным способом с учетом технических параметров таких объектов.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7. Объем потерь воды при транспортировке определяется органом регулирования тарифов в соответствии с </w:t>
      </w:r>
      <w:hyperlink r:id="rId51" w:history="1">
        <w:r>
          <w:rPr>
            <w:rFonts w:ascii="Times New Roman" w:hAnsi="Times New Roman" w:cs="Times New Roman"/>
            <w:color w:val="0000FF"/>
            <w:sz w:val="20"/>
            <w:szCs w:val="20"/>
          </w:rPr>
          <w:t>пунктом 27</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2"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 Расчет объема принятых сточных вод на очередной год осуществляется в соответствии с </w:t>
      </w:r>
      <w:hyperlink w:anchor="Par70" w:history="1">
        <w:r>
          <w:rPr>
            <w:rFonts w:ascii="Times New Roman" w:hAnsi="Times New Roman" w:cs="Times New Roman"/>
            <w:color w:val="0000FF"/>
            <w:sz w:val="20"/>
            <w:szCs w:val="20"/>
          </w:rPr>
          <w:t>формулами (1)</w:t>
        </w:r>
      </w:hyperlink>
      <w:r>
        <w:rPr>
          <w:rFonts w:ascii="Times New Roman" w:hAnsi="Times New Roman" w:cs="Times New Roman"/>
          <w:sz w:val="20"/>
          <w:szCs w:val="20"/>
        </w:rPr>
        <w:t xml:space="preserve"> и </w:t>
      </w:r>
      <w:hyperlink w:anchor="Par72" w:history="1">
        <w:r>
          <w:rPr>
            <w:rFonts w:ascii="Times New Roman" w:hAnsi="Times New Roman" w:cs="Times New Roman"/>
            <w:color w:val="0000FF"/>
            <w:sz w:val="20"/>
            <w:szCs w:val="20"/>
          </w:rPr>
          <w:t>(1.1)</w:t>
        </w:r>
      </w:hyperlink>
      <w:r>
        <w:rPr>
          <w:rFonts w:ascii="Times New Roman" w:hAnsi="Times New Roman" w:cs="Times New Roman"/>
          <w:sz w:val="20"/>
          <w:szCs w:val="20"/>
        </w:rPr>
        <w:t>, с использованием данных о фактическом объеме принимаемых сточных вод и динамики объема принимаемых сточных вод за последние 3 года, а также информации об объеме сточных вод, принимаемых от новых абонентов, объекты которых подключены (планируется подключить) к централизованной системе водоотведения и информации об объеме сточных вод, принимавшемся от абонентов, водоотведение которых прекращено (планируется прекратить).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В случае, если канализационные выпуски абонента не оборудованы приборами учета сточных вод, объем принятых сточных вод в целях расчета тарифов определяется в соответствии с </w:t>
      </w:r>
      <w:hyperlink r:id="rId53"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(далее - Правила организации коммерческого учета воды, сточных вод) (Собрание законодательства Российской Федерации, 2013, N 37, ст. 4696), и в соответствии с объемами, определенными в договорах водоотведения, единых договорах водоснабжения и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Расчетный объем сточных вод, отводимых в централизованную систему водоотведения, определяется отдельно для поверхностных сточных вод и других категорий сточных вод (хозяйственно-бытовых, производственных или промышленных сточных вод).</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III. Общие положения по расчету необходимой валовой выручки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 Необходимая валовая выручка регулируемых организаций определяется исходя из экономически обоснованных расходов, необходимых им для осуществления регулируемого вида деятельности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предусмотренных инвестиционными и производственными программами в течение периода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6" w:name="Par92"/>
      <w:bookmarkEnd w:id="6"/>
      <w:r>
        <w:rPr>
          <w:rFonts w:ascii="Times New Roman" w:hAnsi="Times New Roman" w:cs="Times New Roman"/>
          <w:sz w:val="20"/>
          <w:szCs w:val="20"/>
        </w:rPr>
        <w:t>11.1. Средства, начисленные регулируемой организацией в течение текущего долгосрочного периода регулирования в виде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за вычетом средств, целевым образом направленных на мероприятия производственной программы и (или) инвестиционной программы, ремонт, реконструкцию или строительство объектов централизованных систем водоотведения, на возврат займов и кредитов, процентов по займам и кредитам, привлекаемым на реализацию производственной программы и (или) инвестиционной программы (не более половины от начисленной за указанный период платы за негативное воздействие на работу централизованной системы водоотведения), и оставшиеся в ее распоряжении после уплаты налога на прибыль организации, внесения платы за негативное воздействие на окружающую среду, компенсации вреда, причиненного водному объекту, целевым образом направляются на финансирование мероприятий утвержденной инвестиционной программы по строительству, реконструкции и модернизации объектов централизованной системы водоотведения. Указанные средства, оставшиеся в распоряжении регулируемой организации и не направленные на мероприятия инвестиционной программы, подлежат исключению из необходимой валовой выручки регулируемой организации, за исключением следующих случаев: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7" w:name="Par93"/>
      <w:bookmarkEnd w:id="7"/>
      <w:r>
        <w:rPr>
          <w:rFonts w:ascii="Times New Roman" w:hAnsi="Times New Roman" w:cs="Times New Roman"/>
          <w:sz w:val="20"/>
          <w:szCs w:val="20"/>
        </w:rPr>
        <w:t>вступившее в законную силу решение суда, на основании которого плата (часть платы) за сброс загрязняющих веществ в составе сточных вод сверх установленных нормативов состава сточных вод и (или) плата (часть платы) за негативное воздействие на работу централизованной системы водоотведения не подлежит взысканию;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признание задолженности абонента по внесению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безнадежной в связи с невозможностью взыскания, что подтверждено постановлением судебного пристава-исполнителя о прекращении исполнительного производства, вынесенным в порядке, установленном Федеральным </w:t>
      </w:r>
      <w:hyperlink r:id="rId5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 октября 2007 г. N 229-ФЗ "Об исполнительном производстве" (Собрание законодательства Российской Федерации, 2007, N 41, ст. 4849; 2022, N 1, ст. 13);</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8" w:name="Par95"/>
      <w:bookmarkEnd w:id="8"/>
      <w:r>
        <w:rPr>
          <w:rFonts w:ascii="Times New Roman" w:hAnsi="Times New Roman" w:cs="Times New Roman"/>
          <w:sz w:val="20"/>
          <w:szCs w:val="20"/>
        </w:rPr>
        <w:t xml:space="preserve">утверждение или корректировка инвестиционной программы в части мероприятий, источником финансирования которых является плата за сброс загрязняющих веществ в составе сточных вод сверх </w:t>
      </w:r>
      <w:r>
        <w:rPr>
          <w:rFonts w:ascii="Times New Roman" w:hAnsi="Times New Roman" w:cs="Times New Roman"/>
          <w:sz w:val="20"/>
          <w:szCs w:val="20"/>
        </w:rPr>
        <w:lastRenderedPageBreak/>
        <w:t>установленных нормативов состава сточных вод и (или) плата за негативное воздействие на работу централизованной системы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Указанные в </w:t>
      </w:r>
      <w:hyperlink w:anchor="Par92" w:history="1">
        <w:r>
          <w:rPr>
            <w:rFonts w:ascii="Times New Roman" w:hAnsi="Times New Roman" w:cs="Times New Roman"/>
            <w:color w:val="0000FF"/>
            <w:sz w:val="20"/>
            <w:szCs w:val="20"/>
          </w:rPr>
          <w:t>абзаце первом пункта 11.1</w:t>
        </w:r>
      </w:hyperlink>
      <w:r>
        <w:rPr>
          <w:rFonts w:ascii="Times New Roman" w:hAnsi="Times New Roman" w:cs="Times New Roman"/>
          <w:sz w:val="20"/>
          <w:szCs w:val="20"/>
        </w:rPr>
        <w:t xml:space="preserve"> средства, начисленные регулируемой организацией в течение текущего долгосрочного периода, за исключением последних 2 лет текущего долгосрочного периода, и оставшиеся в ее распоряжении, подлежат исключению из необходимой валовой выручки регулируемой организации в последний год текущего долгосрочного периода, а средства, начисленные регулируемой организацией в течение последних 2 лет указанного долгосрочного периода и оставшиеся в ее распоряжении, подлежат исключению из необходимой валовой выручки регулируемой организации при установлении (корректировке) тарифов для регулируемой организации на второй год следующего долгосрочного периода регулирования, за исключением случаев, указанных в </w:t>
      </w:r>
      <w:hyperlink w:anchor="Par93" w:history="1">
        <w:r>
          <w:rPr>
            <w:rFonts w:ascii="Times New Roman" w:hAnsi="Times New Roman" w:cs="Times New Roman"/>
            <w:color w:val="0000FF"/>
            <w:sz w:val="20"/>
            <w:szCs w:val="20"/>
          </w:rPr>
          <w:t>абзацах втором</w:t>
        </w:r>
      </w:hyperlink>
      <w:r>
        <w:rPr>
          <w:rFonts w:ascii="Times New Roman" w:hAnsi="Times New Roman" w:cs="Times New Roman"/>
          <w:sz w:val="20"/>
          <w:szCs w:val="20"/>
        </w:rPr>
        <w:t xml:space="preserve"> - </w:t>
      </w:r>
      <w:hyperlink w:anchor="Par95" w:history="1">
        <w:r>
          <w:rPr>
            <w:rFonts w:ascii="Times New Roman" w:hAnsi="Times New Roman" w:cs="Times New Roman"/>
            <w:color w:val="0000FF"/>
            <w:sz w:val="20"/>
            <w:szCs w:val="20"/>
          </w:rPr>
          <w:t>четвертом</w:t>
        </w:r>
      </w:hyperlink>
      <w:r>
        <w:rPr>
          <w:rFonts w:ascii="Times New Roman" w:hAnsi="Times New Roman" w:cs="Times New Roman"/>
          <w:sz w:val="20"/>
          <w:szCs w:val="20"/>
        </w:rPr>
        <w:t xml:space="preserve"> настоящего пункта.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11.1 введен </w:t>
      </w:r>
      <w:hyperlink r:id="rId57"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на ее товары (работы, услуги), или имеет недополученные доходы прошлых периодов регулирования (далее - выпадающие расходы и недополученные доходы), то такие выпадающие расходы и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органом регулирования тарифов при установлении тарифов для такой регулируемой организации в полном объеме не позднее чем на 3-й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12.1. Подлежат исключению из необходимой валовой выручки регулируемой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экономически не обоснованные доходы прошлых периодов регулирования, включая доходы, связанные с нарушениями законодательства Российской Федерации при установлении и применении регулируемых тарифов, в том числе выявленные в результате проверок и мероприятий по контролю;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в результате проверок и мероприятий по контролю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12.1 введен </w:t>
      </w:r>
      <w:hyperlink r:id="rId58"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13. Тарифы на подвоз воды рассчитываются методом экономически обоснованных расходов (затрат). При расчете тарифов на подвоз воды учитываются расходы на забор и водоподготовку или покупку воды и расходы на транспортировку воды.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14. При расчете необходимой валовой выручки доходы регулируемой организации от платы за подключение (технологическое присоединение) и расходы, связанные с подключением объектов заявителей к централизованным системам водоснабжения и водоотведения, учитываются отдельно. При расчете доходов от платы за подключение (технологическое присоединение) не применяются методы расчета необходимой валовой выручки в соответствии с </w:t>
      </w:r>
      <w:hyperlink w:anchor="Par108" w:history="1">
        <w:r>
          <w:rPr>
            <w:rFonts w:ascii="Times New Roman" w:hAnsi="Times New Roman" w:cs="Times New Roman"/>
            <w:color w:val="0000FF"/>
            <w:sz w:val="20"/>
            <w:szCs w:val="20"/>
          </w:rPr>
          <w:t>главами IV</w:t>
        </w:r>
      </w:hyperlink>
      <w:r>
        <w:rPr>
          <w:rFonts w:ascii="Times New Roman" w:hAnsi="Times New Roman" w:cs="Times New Roman"/>
          <w:sz w:val="20"/>
          <w:szCs w:val="20"/>
        </w:rPr>
        <w:t xml:space="preserve"> - </w:t>
      </w:r>
      <w:hyperlink w:anchor="Par675" w:history="1">
        <w:r>
          <w:rPr>
            <w:rFonts w:ascii="Times New Roman" w:hAnsi="Times New Roman" w:cs="Times New Roman"/>
            <w:color w:val="0000FF"/>
            <w:sz w:val="20"/>
            <w:szCs w:val="20"/>
          </w:rPr>
          <w:t>VII</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Доходы регулируемой организации от взимания платы за нарушение нормативов по объему и (или) составу сточных вод не учитываются при расчете необходимой валовой выручки в случае, если они направляются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Доходы от взимания платы за негативное воздействие на работу централизованной системы водоотведения не учитываются при расчете необходимой валовой выручки регулируемой организации в случае, если они направляются целевым образом на финансирование мероприятий инвестиционной и (или) производственной программы регулируемой организации.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bookmarkStart w:id="9" w:name="Par108"/>
      <w:bookmarkEnd w:id="9"/>
      <w:r>
        <w:rPr>
          <w:rFonts w:ascii="Times New Roman" w:hAnsi="Times New Roman" w:cs="Times New Roman"/>
          <w:b/>
          <w:bCs/>
          <w:sz w:val="20"/>
          <w:szCs w:val="20"/>
        </w:rPr>
        <w:t>IV. Расчет необходимой валовой выручки методом экономически</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обоснованных расходов (затрат)</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bookmarkStart w:id="10" w:name="Par111"/>
      <w:bookmarkEnd w:id="10"/>
      <w:r>
        <w:rPr>
          <w:rFonts w:ascii="Times New Roman" w:hAnsi="Times New Roman" w:cs="Times New Roman"/>
          <w:sz w:val="20"/>
          <w:szCs w:val="20"/>
        </w:rPr>
        <w:t>15.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очередной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1" w:name="Par112"/>
      <w:bookmarkEnd w:id="11"/>
      <w:r>
        <w:rPr>
          <w:rFonts w:ascii="Times New Roman" w:hAnsi="Times New Roman" w:cs="Times New Roman"/>
          <w:sz w:val="20"/>
          <w:szCs w:val="20"/>
        </w:rPr>
        <w:lastRenderedPageBreak/>
        <w:t>1) производственных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ремонтных расходов;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9"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административных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сбытовых расходов гарантирующих организаций;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расходов на амортизацию основных средств и нематериальных активов;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расходов на арендную плату, лизинговые платежи, концессионную плату в отношении централизованных систем водоснабжения и (или) водоотведения или их отдельных объектов, находящихся в государственной или муниципальной собственности, с учетом особенностей, предусмотренных </w:t>
      </w:r>
      <w:hyperlink r:id="rId60" w:history="1">
        <w:r>
          <w:rPr>
            <w:rFonts w:ascii="Times New Roman" w:hAnsi="Times New Roman" w:cs="Times New Roman"/>
            <w:color w:val="0000FF"/>
            <w:sz w:val="20"/>
            <w:szCs w:val="20"/>
          </w:rPr>
          <w:t>пунктом 44</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2" w:name="Par119"/>
      <w:bookmarkEnd w:id="12"/>
      <w:r>
        <w:rPr>
          <w:rFonts w:ascii="Times New Roman" w:hAnsi="Times New Roman" w:cs="Times New Roman"/>
          <w:sz w:val="20"/>
          <w:szCs w:val="20"/>
        </w:rPr>
        <w:t>7) расходов, связанных с оплатой налогов и сборов;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нормативной прибыли;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расчетной предпринимательской прибыли гарантирующей организации.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9 введен </w:t>
      </w:r>
      <w:hyperlink r:id="rId61"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3" w:name="Par123"/>
      <w:bookmarkEnd w:id="13"/>
      <w:r>
        <w:rPr>
          <w:rFonts w:ascii="Times New Roman" w:hAnsi="Times New Roman" w:cs="Times New Roman"/>
          <w:sz w:val="20"/>
          <w:szCs w:val="20"/>
        </w:rPr>
        <w:t>16.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сведения о которых получены из следующих источников информации (в приоритетном порядке):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цены, установленные в договорах, заключенных в результате проведения торгов;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4" w:name="Par126"/>
      <w:bookmarkEnd w:id="14"/>
      <w:r>
        <w:rPr>
          <w:rFonts w:ascii="Times New Roman" w:hAnsi="Times New Roman" w:cs="Times New Roman"/>
          <w:sz w:val="20"/>
          <w:szCs w:val="20"/>
        </w:rPr>
        <w:t>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прогноз индекса потребительских цен (в среднем за год к предыдущему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цен на природный газ и другие виды топлива;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цен на электрическую энергию;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заработной платы;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сведения о расходах на приобретаемые товары (работы, услуги), производимых другими регулируемыми организациями, осуществляющими регулируемые виды деятельности в сфере водоснабжения и (или) водоотведения в сопоставимых условиях;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рыночные цены на потребляемые регулируемой организацией товары (работы, услуги), сложившиеся в соответствующем субъекте Российской Федерации, сведения о которых предоставляются независимыми специализированными информационно-аналитическими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рыночные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данные бухгалтерского учета и статистической отчетности регулируемой организации за 3 предыдущих периода регулирования, за которые у органа регулирования тарифов имеются указанные данные.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5" w:name="Par135"/>
      <w:bookmarkEnd w:id="15"/>
      <w:r>
        <w:rPr>
          <w:rFonts w:ascii="Times New Roman" w:hAnsi="Times New Roman" w:cs="Times New Roman"/>
          <w:sz w:val="20"/>
          <w:szCs w:val="20"/>
        </w:rPr>
        <w:lastRenderedPageBreak/>
        <w:t xml:space="preserve">17. При определении расходов на оплату труда, включаемых в необходимую валовую выручку, размер фонда оплаты труда определяется в соответствии с </w:t>
      </w:r>
      <w:hyperlink w:anchor="Par4147" w:history="1">
        <w:r>
          <w:rPr>
            <w:rFonts w:ascii="Times New Roman" w:hAnsi="Times New Roman" w:cs="Times New Roman"/>
            <w:color w:val="0000FF"/>
            <w:sz w:val="20"/>
            <w:szCs w:val="20"/>
          </w:rPr>
          <w:t>Приложениями 2.2</w:t>
        </w:r>
      </w:hyperlink>
      <w:r>
        <w:rPr>
          <w:rFonts w:ascii="Times New Roman" w:hAnsi="Times New Roman" w:cs="Times New Roman"/>
          <w:sz w:val="20"/>
          <w:szCs w:val="20"/>
        </w:rPr>
        <w:t xml:space="preserve">, </w:t>
      </w:r>
      <w:hyperlink w:anchor="Par4855" w:history="1">
        <w:r>
          <w:rPr>
            <w:rFonts w:ascii="Times New Roman" w:hAnsi="Times New Roman" w:cs="Times New Roman"/>
            <w:color w:val="0000FF"/>
            <w:sz w:val="20"/>
            <w:szCs w:val="20"/>
          </w:rPr>
          <w:t>2.2.1</w:t>
        </w:r>
      </w:hyperlink>
      <w:r>
        <w:rPr>
          <w:rFonts w:ascii="Times New Roman" w:hAnsi="Times New Roman" w:cs="Times New Roman"/>
          <w:sz w:val="20"/>
          <w:szCs w:val="20"/>
        </w:rPr>
        <w:t xml:space="preserve"> к настоящим Методическим указаниям.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определении расходов на оплату труда в порядке приоритетности используются следующие сведения: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параметры отраслевого тарифного соглашения;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параметры трехстороннего соглашения, заключенного представителями работников, работодателей и органов исполнительной власти субъектов Российской Федерации или местного самоуправления (региональное отраслевое соглашение);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размер фонда оплаты труда в последнем расчетном периоде регулирования и фондов оплаты труда в других регулируемых организациях, осуществляющих аналогичные регулируемые виды деятельности в сопоставимых условиях, плановое значение индекса потребительских цен;</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условия коллективного договора;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прогнозный индекс потребительских цен.</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6" w:name="Par142"/>
      <w:bookmarkEnd w:id="16"/>
      <w:r>
        <w:rPr>
          <w:rFonts w:ascii="Times New Roman" w:hAnsi="Times New Roman" w:cs="Times New Roman"/>
          <w:sz w:val="20"/>
          <w:szCs w:val="20"/>
        </w:rPr>
        <w:t>18. В составе производственных расходов учитываются:</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пп. 1 п. 18 вносятся изменения (</w:t>
            </w:r>
            <w:hyperlink r:id="rId62"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расходы на приобретение сырья и материалов и их хранение;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на приобретаемые электрическую энергию (мощность), тепловую энергию, другие виды энергетических ресурсов и холодную воду;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расходы на оплату регулируемыми организациями выполняемых сторонними организациями работ и (или) услуг, связанных с эксплуатацией централизованных систем водоснабжения и (или) водоотведения либо объектов, входящих в состав таких систем;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4 в ред. </w:t>
      </w:r>
      <w:hyperlink r:id="rId6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расходы на уплату процентов по займам и кредитам, не учитываемые при определении налогооблагаемой базы налога на прибыль;</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пп. 6 п. 18 вносятся изменения (</w:t>
            </w:r>
            <w:hyperlink r:id="rId64"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общехозяйственные расходы;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прочие производственные расходы, непосредственно связанные с содержанием и эксплуатацией объектов централизованных систем водоснабжения и водоотведения, не учитываемые в составе ремонтных расходов, включая расходы на амортизацию автотранспорта, используемого регулируемой организацией. Производственные расходы должны покрывать расходы на осуществление производственной программы регулируемой организации в полном объеме, в том числе расходы, связанные с выполнением регулируемой организацией функций, предусмотренных законодательством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обезвоживание, обезвреживание и захоронение осадка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осуществление производственного контроля качества воды и производственного контроля состава и свойств сточных вод, включая расходы на оборудование лабораторий, приобретение приборов, используемых для анализа качества воды, состава и свойств сточных вод (за исключением расходов на контроль состава и свойств сточных вод абонентов);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6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аварийно-диспетчерское обслуживание.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В состав расходов на уплату процентов по займам и кредитам, не учитываемых при определении налоговой базы налога на прибыль, включаются расходы по кредитам на покрытие кассовых разрывов, целевым кредитам на производственные нужды, за исключением иных видов кредитов.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19. Расходы регулируемой организации на приобретение используемых ею для производственных нужд сырья и материалов, а также на их хранение рассчитываются как сумма расходов по каждому виду сырья и материалов, являющихся произведением плановых (расчетных) цен на сырье и материалы, и экономически обоснованных объемов потребления сырья и материалов. Регулируемая организация представляет в органы регулирования тарифов информацию согласно </w:t>
      </w:r>
      <w:hyperlink w:anchor="Par3111" w:history="1">
        <w:r>
          <w:rPr>
            <w:rFonts w:ascii="Times New Roman" w:hAnsi="Times New Roman" w:cs="Times New Roman"/>
            <w:color w:val="0000FF"/>
            <w:sz w:val="20"/>
            <w:szCs w:val="20"/>
          </w:rPr>
          <w:t>Приложениям 2.1</w:t>
        </w:r>
      </w:hyperlink>
      <w:r>
        <w:rPr>
          <w:rFonts w:ascii="Times New Roman" w:hAnsi="Times New Roman" w:cs="Times New Roman"/>
          <w:sz w:val="20"/>
          <w:szCs w:val="20"/>
        </w:rPr>
        <w:t xml:space="preserve"> - </w:t>
      </w:r>
      <w:hyperlink w:anchor="Par3178" w:history="1">
        <w:r>
          <w:rPr>
            <w:rFonts w:ascii="Times New Roman" w:hAnsi="Times New Roman" w:cs="Times New Roman"/>
            <w:color w:val="0000FF"/>
            <w:sz w:val="20"/>
            <w:szCs w:val="20"/>
          </w:rPr>
          <w:t>2.1.1</w:t>
        </w:r>
      </w:hyperlink>
      <w:r>
        <w:rPr>
          <w:rFonts w:ascii="Times New Roman" w:hAnsi="Times New Roman" w:cs="Times New Roman"/>
          <w:sz w:val="20"/>
          <w:szCs w:val="20"/>
        </w:rPr>
        <w:t xml:space="preserve"> к настоящим Методическим указаниям в отношении реагентов, горюче-смазочных материалов и других видов сырья и материалов, расходы на которые составляют более 5 процентов общей величины расходов на сырье и материалы.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7" w:name="Par161"/>
      <w:bookmarkEnd w:id="17"/>
      <w:r>
        <w:rPr>
          <w:rFonts w:ascii="Times New Roman" w:hAnsi="Times New Roman" w:cs="Times New Roman"/>
          <w:sz w:val="20"/>
          <w:szCs w:val="20"/>
        </w:rPr>
        <w:t>20. Расходы регулируемой организации на приобретаемые электрическую энергию (мощность), тепловую энергию (мощность), другие виды энергетических ресурсов, холодную воду, теплоноситель определяются как сумма произведений расчетных экономически (технологически, технически) обоснованных объемов приобретаемых электрической энергии (мощности), тепловой энергии (мощности), других видов энергетических ресурсов холодной воды на соответственно плановые (расчетные) цены (тарифы) на электрическую энергию (мощность), тепловую энергию (мощность), другие виды энергетических ресурсов, холодную воду (</w:t>
      </w:r>
      <w:hyperlink w:anchor="Par3360" w:history="1">
        <w:r>
          <w:rPr>
            <w:rFonts w:ascii="Times New Roman" w:hAnsi="Times New Roman" w:cs="Times New Roman"/>
            <w:color w:val="0000FF"/>
            <w:sz w:val="20"/>
            <w:szCs w:val="20"/>
          </w:rPr>
          <w:t>Приложения 2.1.2</w:t>
        </w:r>
      </w:hyperlink>
      <w:r>
        <w:rPr>
          <w:rFonts w:ascii="Times New Roman" w:hAnsi="Times New Roman" w:cs="Times New Roman"/>
          <w:sz w:val="20"/>
          <w:szCs w:val="20"/>
        </w:rPr>
        <w:t xml:space="preserve"> - </w:t>
      </w:r>
      <w:hyperlink w:anchor="Par4077" w:history="1">
        <w:r>
          <w:rPr>
            <w:rFonts w:ascii="Times New Roman" w:hAnsi="Times New Roman" w:cs="Times New Roman"/>
            <w:color w:val="0000FF"/>
            <w:sz w:val="20"/>
            <w:szCs w:val="20"/>
          </w:rPr>
          <w:t>2.1.6</w:t>
        </w:r>
      </w:hyperlink>
      <w:r>
        <w:rPr>
          <w:rFonts w:ascii="Times New Roman" w:hAnsi="Times New Roman" w:cs="Times New Roman"/>
          <w:sz w:val="20"/>
          <w:szCs w:val="20"/>
        </w:rPr>
        <w:t xml:space="preserve"> к настоящим Методическим указаниям). Объемы приобретаемой электрической энергии (мощности), тепловой энергии (мощности) определяются с учетом показателей надежности, качества, энергетической эффективности в сфере водоснабжения и (или) водоотведения, определенных в установленном порядке.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необходимую валовую выручку регулируемой организации включаются расходы на приобретение электрической энергии (мощности) в объеме, определенном исходя из удельных расходов на электрическую энергию в расчете на объем воды, в отношении которой осуществляется водоподготовка, и (или) на объем транспортируемой воды (объем сточных вод, подвергающихся очистке, и (или) объем транспортируемых сточных вод), и объема используемой мощности, а также исходя из плановых (расчетных) цен (тарифов) на электрическую энергию (мощность).</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66"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21. Расходы регулируемой организации на приобретаемую горячую воду учитываются в составе расходов на тепловую энергию (мощность) и расходов на теплоноситель.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8" w:name="Par165"/>
      <w:bookmarkEnd w:id="18"/>
      <w:r>
        <w:rPr>
          <w:rFonts w:ascii="Times New Roman" w:hAnsi="Times New Roman" w:cs="Times New Roman"/>
          <w:sz w:val="20"/>
          <w:szCs w:val="20"/>
        </w:rPr>
        <w:t>22. Расходы, связанные с обслуживанием заемных средств, учитываются в размере, рассчитанном исходя из ставки процента, равной ставке рефинансирования Центрального банка Российской Федерации, действующей на дату привлечения таких средств (заключения договора займа, кредитного договора), увеличенной в 1,5 раза, но не менее 4 процентных пунктов. По решению органа регулирования тарифов для регулируемых организаций, осуществляющих деятельность в сфере водоснабжения и водоотведения в населенных пунктах с численностью населения менее 100 тысяч человек, указанная ставка процента может быть с учетом региональных особенностей определена в размере ставки рефинансирования Центрального банка Российской Федерации, действующей на дату привлечения заемных средств, увеличенной более чем в 1,5 раза, но в размере не менее 4 процентных пунктов.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22 в ред. </w:t>
      </w:r>
      <w:hyperlink r:id="rId67"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9" w:name="Par167"/>
      <w:bookmarkEnd w:id="19"/>
      <w:r>
        <w:rPr>
          <w:rFonts w:ascii="Times New Roman" w:hAnsi="Times New Roman" w:cs="Times New Roman"/>
          <w:sz w:val="20"/>
          <w:szCs w:val="20"/>
        </w:rPr>
        <w:t>23. В составе ремонтных расходов учитываются: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расходы на текущий ремонт централизованных систем водоснабжения и (или) водоотведения либо объектов, входящих в состав таких систем;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на капитальный ремонт централизованных систем водоснабжения и (или) водоотведения либо объектов, входящих в состав таких систем;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расходы на оплату труда и страховые взносы на обязательное социальное страхование, выплачиваемые из фонда оплаты труда ремонтного персонала.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3 в ред. </w:t>
      </w:r>
      <w:hyperlink r:id="rId6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0" w:name="Par172"/>
      <w:bookmarkEnd w:id="20"/>
      <w:r>
        <w:rPr>
          <w:rFonts w:ascii="Times New Roman" w:hAnsi="Times New Roman" w:cs="Times New Roman"/>
          <w:sz w:val="20"/>
          <w:szCs w:val="20"/>
        </w:rPr>
        <w:t>24. При определении расходов регулируемой организации на ремонт используются расчетные цены и экономически (технически, технологически) обоснованный объем ремонтных работ, предусмотренный производственной программой регулируемой организации.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24 в ред. </w:t>
      </w:r>
      <w:hyperlink r:id="rId69"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1" w:name="Par174"/>
      <w:bookmarkEnd w:id="21"/>
      <w:r>
        <w:rPr>
          <w:rFonts w:ascii="Times New Roman" w:hAnsi="Times New Roman" w:cs="Times New Roman"/>
          <w:sz w:val="20"/>
          <w:szCs w:val="20"/>
        </w:rPr>
        <w:t>25. К административным расходам относятся: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расходы на оплату работ и (или) услуг, выполняемых по договорам сторонними организациями или индивидуальными предпринимателями, включая расходы на оплату услуг связи, вневедомственной </w:t>
      </w:r>
      <w:r>
        <w:rPr>
          <w:rFonts w:ascii="Times New Roman" w:hAnsi="Times New Roman" w:cs="Times New Roman"/>
          <w:sz w:val="20"/>
          <w:szCs w:val="20"/>
        </w:rPr>
        <w:lastRenderedPageBreak/>
        <w:t>охраны, юридических, информационных, аудиторских, консультационных услуг в экономически обоснованном размере, за исключением расходов, отнесенных к производственным расходам;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7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2 в ред. </w:t>
      </w:r>
      <w:hyperlink r:id="rId71"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арендная плата, лизинговые платежи, не связанные с арендой (лизингом) централизованных систем водоснабжения и (или) водоотведения либо объектов, входящих в состав таких систем;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расходы на служебные командировки;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расходы на обучение персонала;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расходы на страхование производственных объектов, учитываемые при определении базы по налогу на прибыль;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прочие расходы: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амортизацию непроизводственных активов;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услуг сторонних организаций по обеспечению безопасности функционирования объектов централизованных систем водоснабжения и водоотведения, в том числе расходы на защиту от террористических угроз.</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2" w:name="Par186"/>
      <w:bookmarkEnd w:id="22"/>
      <w:r>
        <w:rPr>
          <w:rFonts w:ascii="Times New Roman" w:hAnsi="Times New Roman" w:cs="Times New Roman"/>
          <w:sz w:val="20"/>
          <w:szCs w:val="20"/>
        </w:rPr>
        <w:t>26. К сбытовым расходам гарантирующей организации относятся: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расходы на приобретение материалов, связанные со сбытовой деятельностью, за исключением расходов, учтенных в расходах на содержание помещений, используемых при осуществлении сбытовой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на содержание помещений, используемых при осуществлении сбытовой деятельности, определяемые в соответствии с настоящими методическими указаниями, в том числе: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приобретение сырья и материалов;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приобретаемые электрическую энергию (мощность), тепловую энергию, другие виды энергетических ресурсов и холодную воду;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выполняемых работ и услуг сторонними организациями, связанных с содержанием помещений в части сбытовой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расходы на оплату труда, страховые взносы на обязательное социальное страхование, выплачиваемые из фонда оплаты труда сбытового персонала;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расходы на амортизацию основных средств и нематериальных активов, используемых при осуществлении сбытовой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расходы на аренду, лизинг имущества, используемого при осуществлении сбытовой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расходы на уплату процентов по займам и кредитам, привлечение которых обосновано ростом дебиторской задолженности абонентов за регулируемые услуги водоснабжения и (или) водоотведения, при этом процентная ставка по таким займам и кредитам принимается с учетом положений </w:t>
      </w:r>
      <w:hyperlink w:anchor="Par165" w:history="1">
        <w:r>
          <w:rPr>
            <w:rFonts w:ascii="Times New Roman" w:hAnsi="Times New Roman" w:cs="Times New Roman"/>
            <w:color w:val="0000FF"/>
            <w:sz w:val="20"/>
            <w:szCs w:val="20"/>
          </w:rPr>
          <w:t>пункта 22</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расходы на оплату работ и (или) услуг, выполняемых сторонними организациями или индивидуальными предпринимателями, связанных со сбытовой деятельностью, в экономически обоснованном размере и прочие расходы, связанные со сбытовой деятельностью, в том числе: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ремонт и техническое обслуживание подрядным способом;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автоматизация и сопровождение действующего программного обеспечения;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транспортные и логистические услуги;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услуги связи, юридические, архивные услуги;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обучение сбытового персонала;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контроль состава и свойств сточных вод, сбрасываемых абонентами в централизованную систему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услуги банков и расчетных центров, услуг по снятию и сбору показаний приборов учета, услуг по истребованию задолженности по оплате коммунальных услуг с учетом положения </w:t>
      </w:r>
      <w:hyperlink w:anchor="Par206" w:history="1">
        <w:r>
          <w:rPr>
            <w:rFonts w:ascii="Times New Roman" w:hAnsi="Times New Roman" w:cs="Times New Roman"/>
            <w:color w:val="0000FF"/>
            <w:sz w:val="20"/>
            <w:szCs w:val="20"/>
          </w:rPr>
          <w:t>пункта 27</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расходы на формирование резервов по сомнительным долгам (дебиторской задолженности) в размере не более 2 процентов необходимой валовой выручки, относимой на население (абонентов, предоставляющих коммунальные услуги в сфере водоснабжения и водоотведения населению) за предыдущий период регулирования.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Величина фактических расходов на формирование резервов по сомнительным долгам определяется с учетом корректировки резерва в течение рассматриваемого периода, его прироста и восстановления, связанного с увеличением либо погашением задолженности, ранее признанной сомнительной.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26 в ред. </w:t>
      </w:r>
      <w:hyperlink r:id="rId72"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3" w:name="Par206"/>
      <w:bookmarkEnd w:id="23"/>
      <w:r>
        <w:rPr>
          <w:rFonts w:ascii="Times New Roman" w:hAnsi="Times New Roman" w:cs="Times New Roman"/>
          <w:sz w:val="20"/>
          <w:szCs w:val="20"/>
        </w:rPr>
        <w:t xml:space="preserve">27. При установлении тарифов не допускается учет расходов регулируемой организации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 учитываемых в расходах за содержание и ремонт жилого помещения в соответствии с </w:t>
      </w:r>
      <w:hyperlink r:id="rId73"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содержания общего имущества в многоквартирном доме, утвержденными постановлением Правительства Российской Федерации от 13 августа 2006 г. N 491 (Собрание законодательства Российской Федерации, 2006, N 34, ст. 3680; 2011, N 22, ст. 3168; 2013, N 21, ст. 2648).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4" w:name="Par207"/>
      <w:bookmarkEnd w:id="24"/>
      <w:r>
        <w:rPr>
          <w:rFonts w:ascii="Times New Roman" w:hAnsi="Times New Roman" w:cs="Times New Roman"/>
          <w:sz w:val="20"/>
          <w:szCs w:val="20"/>
        </w:rPr>
        <w:t>28. Расходы на амортизацию основных средств и нематериальных активов для расчета тарифов определяются в соответствии с нормативными правовыми актами Российской Федерации, регулирующими отношения в сфере бухгалтерского учета.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в соответствии с максимальными сроками полезного использования, установленными </w:t>
      </w:r>
      <w:hyperlink r:id="rId74" w:history="1">
        <w:r>
          <w:rPr>
            <w:rFonts w:ascii="Times New Roman" w:hAnsi="Times New Roman" w:cs="Times New Roman"/>
            <w:color w:val="0000FF"/>
            <w:sz w:val="20"/>
            <w:szCs w:val="20"/>
          </w:rPr>
          <w:t>Классификацией</w:t>
        </w:r>
      </w:hyperlink>
      <w:r>
        <w:rPr>
          <w:rFonts w:ascii="Times New Roman" w:hAnsi="Times New Roman" w:cs="Times New Roman"/>
          <w:sz w:val="20"/>
          <w:szCs w:val="20"/>
        </w:rPr>
        <w:t xml:space="preserve"> основных средств, включаемых в амортизационные группы, утвержденной постановлением Правительства Российской Федерации от 1 января 2002 г. N 1 (Собрание законодательства Российской Федерации, 2002, N 1, ст. 52; 2020, N 1, ст. 104).</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Амортизация по объектам основных средств и нематериальных активов, построенным за счет средств бюджетов бюджетной системы Российской Федерации (выделяемых непосредственно регулируемой организации или опосредованно через третьих лиц),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28 в ред. </w:t>
      </w:r>
      <w:hyperlink r:id="rId7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05.07.2022 N 498/22)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5" w:name="Par213"/>
      <w:bookmarkEnd w:id="25"/>
      <w:r>
        <w:rPr>
          <w:rFonts w:ascii="Times New Roman" w:hAnsi="Times New Roman" w:cs="Times New Roman"/>
          <w:sz w:val="20"/>
          <w:szCs w:val="20"/>
        </w:rPr>
        <w:t>29. Расходы на арендную плату и лизинговые платежи в отношении централизованных систем водоснабжения и (или) водоотведения либо объектов, входящих в состав таких систем,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Экономически обоснованный размер арендной платы или лизингового платежа определяется исходя из принципа возмещения арендодателю (лизингодателю) амортизации, налогов на имущество, в том числе на землю, и других обязательных платежей собственника передаваемого в аренду (лизинг) имущества, </w:t>
      </w:r>
      <w:r>
        <w:rPr>
          <w:rFonts w:ascii="Times New Roman" w:hAnsi="Times New Roman" w:cs="Times New Roman"/>
          <w:sz w:val="20"/>
          <w:szCs w:val="20"/>
        </w:rPr>
        <w:lastRenderedPageBreak/>
        <w:t>связанных с владением указанным имуществом. Экономически обоснованный уровень размера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(лизинговый платеж) являлись критерием конкурса или аукциона на заключение соответствующего договора.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76" w:history="1">
        <w:r>
          <w:rPr>
            <w:rFonts w:ascii="Times New Roman" w:hAnsi="Times New Roman" w:cs="Times New Roman"/>
            <w:color w:val="0000FF"/>
            <w:sz w:val="20"/>
            <w:szCs w:val="20"/>
          </w:rPr>
          <w:t>основными условиями</w:t>
        </w:r>
      </w:hyperlink>
      <w:r>
        <w:rPr>
          <w:rFonts w:ascii="Times New Roman" w:hAnsi="Times New Roman" w:cs="Times New Roman"/>
          <w:sz w:val="20"/>
          <w:szCs w:val="20"/>
        </w:rPr>
        <w:t xml:space="preserve">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2014, N 19, ст. 2438; 50, ст. 7070, ст. 7094; 2015, N 10, ст. 1529),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77"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27.05.2015 N 1080-Э)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Концессионная плата не учитывается при установлении тарифов в сфере водоснабжения и водоотведения, за исключением концессионной платы, установленной концессионным соглашением, заключенным в установленном порядке до 31 декабря 2012 г.</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отношении договоров аренды и концессионных соглашений, заключенных и зарегистрированных в установленном порядке до 31 декабря 2012 г., экономически обоснованный размер арендной и концессионной платы определяется в размере, предусмотренном таким договором аренды (концессионным соглашением).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Арендная плата по договору аренды переданного концедентом по концессионному соглашению концессионеру недвижимого имущества, право собственности концендента на которое не было зарегистрировано в установленном законодательством Российской Федерации порядке в течение одного года с даты заключения концессионного соглашения, при установлении тарифов в сфере водоснабжения и водоотведения учитывается в размере, указанном в таком договоре аренды.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78"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30.06.2017 N 868/17)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30. При определении размера расходов, связанных с уплатой налогов и сборов, учитываются: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налог на прибыль;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налог на имущество организаций;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земельный налог;</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водный налог и плата за пользование водным объектом;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транспортный налог;</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прочие налоги и сборы, за исключением налогов и сборов с фонда оплаты труда, учитываемых в составе производственных, ремонтных и административных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плата за негативное воздействие на окружающую среду, размещение отходов и другие виды негативного воздействия на окружающую среду, размер которой определяется исходя из того, что указанные выбросы (сбросы) и размещение осуществляются в пределах установленных нормативов и (или) лимитов, в том числе в соответствии с планами снижения сбросов.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w:t>
      </w:r>
      <w:hyperlink r:id="rId79"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31. Учитываемая при определении необходимой валовой выручки нормативная прибыль включает в себя: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средства на возврат займов и кредитов, проценты по займам и кредитам, привлекаемым на реализацию инвестиционной программы и пополнение оборотных средств, с учетом предусмотренных Налоговым </w:t>
      </w:r>
      <w:hyperlink r:id="rId80"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 особенностей отнесения к расходам процентов по долговым обязательствам;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2) расходы на капитальные вложения (инвестиции) на период регулирования, определяемые на основе утвержденных инвестиционных программ, за исключением процентов по займам и кредитам, привлекаемым на реализацию мероприятий инвестиционной программы, учтенных в стоимости таких мероприятий;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6" w:name="Par233"/>
      <w:bookmarkEnd w:id="26"/>
      <w:r>
        <w:rPr>
          <w:rFonts w:ascii="Times New Roman" w:hAnsi="Times New Roman" w:cs="Times New Roman"/>
          <w:sz w:val="20"/>
          <w:szCs w:val="20"/>
        </w:rPr>
        <w:t>3) расходы на социальные нужды, предусмотренные коллективными договорами;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исключен. - </w:t>
      </w:r>
      <w:hyperlink r:id="rId81"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32. Величина нормативной прибыли при расчете необходимой валовой выручки с применением метода экономически обоснованных расходов (затрат) не может превышать 7 процентов от суммы включаемых в необходимую валовую выручку расходов, указанных в </w:t>
      </w:r>
      <w:hyperlink w:anchor="Par112" w:history="1">
        <w:r>
          <w:rPr>
            <w:rFonts w:ascii="Times New Roman" w:hAnsi="Times New Roman" w:cs="Times New Roman"/>
            <w:color w:val="0000FF"/>
            <w:sz w:val="20"/>
            <w:szCs w:val="20"/>
          </w:rPr>
          <w:t>подпунктах 1</w:t>
        </w:r>
      </w:hyperlink>
      <w:r>
        <w:rPr>
          <w:rFonts w:ascii="Times New Roman" w:hAnsi="Times New Roman" w:cs="Times New Roman"/>
          <w:sz w:val="20"/>
          <w:szCs w:val="20"/>
        </w:rPr>
        <w:t xml:space="preserve"> - </w:t>
      </w:r>
      <w:hyperlink w:anchor="Par119" w:history="1">
        <w:r>
          <w:rPr>
            <w:rFonts w:ascii="Times New Roman" w:hAnsi="Times New Roman" w:cs="Times New Roman"/>
            <w:color w:val="0000FF"/>
            <w:sz w:val="20"/>
            <w:szCs w:val="20"/>
          </w:rPr>
          <w:t>7 пункта 15</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32(1). Расчетная предпринимательская прибыль гарантирующей организации определяется в размере 5 процентов включаемых в необходимую валовую выручку на очередной период регулирования расходов, указанных в </w:t>
      </w:r>
      <w:hyperlink w:anchor="Par112" w:history="1">
        <w:r>
          <w:rPr>
            <w:rFonts w:ascii="Times New Roman" w:hAnsi="Times New Roman" w:cs="Times New Roman"/>
            <w:color w:val="0000FF"/>
            <w:sz w:val="20"/>
            <w:szCs w:val="20"/>
          </w:rPr>
          <w:t>подпунктах 1</w:t>
        </w:r>
      </w:hyperlink>
      <w:r>
        <w:rPr>
          <w:rFonts w:ascii="Times New Roman" w:hAnsi="Times New Roman" w:cs="Times New Roman"/>
          <w:sz w:val="20"/>
          <w:szCs w:val="20"/>
        </w:rPr>
        <w:t xml:space="preserve"> - </w:t>
      </w:r>
      <w:hyperlink w:anchor="Par119" w:history="1">
        <w:r>
          <w:rPr>
            <w:rFonts w:ascii="Times New Roman" w:hAnsi="Times New Roman" w:cs="Times New Roman"/>
            <w:color w:val="0000FF"/>
            <w:sz w:val="20"/>
            <w:szCs w:val="20"/>
          </w:rPr>
          <w:t>7 пункта 15</w:t>
        </w:r>
      </w:hyperlink>
      <w:r>
        <w:rPr>
          <w:rFonts w:ascii="Times New Roman" w:hAnsi="Times New Roman" w:cs="Times New Roman"/>
          <w:sz w:val="20"/>
          <w:szCs w:val="20"/>
        </w:rPr>
        <w:t xml:space="preserve"> настоящих Методических указаний, с учетом особенностей, предусмотренных </w:t>
      </w:r>
      <w:hyperlink r:id="rId82" w:history="1">
        <w:r>
          <w:rPr>
            <w:rFonts w:ascii="Times New Roman" w:hAnsi="Times New Roman" w:cs="Times New Roman"/>
            <w:color w:val="0000FF"/>
            <w:sz w:val="20"/>
            <w:szCs w:val="20"/>
          </w:rPr>
          <w:t>пунктом 47(2)</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29.08.2017 N 1130/17)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Абзацы второй - третий утратили силу. - </w:t>
      </w:r>
      <w:hyperlink r:id="rId84"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ФАС России от 29.08.2017 N 1130/17.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32(1) введен </w:t>
      </w:r>
      <w:hyperlink r:id="rId85"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27" w:name="Par240"/>
      <w:bookmarkEnd w:id="27"/>
      <w:r>
        <w:rPr>
          <w:rFonts w:ascii="Times New Roman" w:hAnsi="Times New Roman" w:cs="Times New Roman"/>
          <w:sz w:val="20"/>
          <w:szCs w:val="20"/>
        </w:rPr>
        <w:t xml:space="preserve">33.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и использует источники информации о ценах (тарифах) и расходах в соответствии с </w:t>
      </w:r>
      <w:hyperlink r:id="rId86" w:history="1">
        <w:r>
          <w:rPr>
            <w:rFonts w:ascii="Times New Roman" w:hAnsi="Times New Roman" w:cs="Times New Roman"/>
            <w:color w:val="0000FF"/>
            <w:sz w:val="20"/>
            <w:szCs w:val="20"/>
          </w:rPr>
          <w:t>пунктами 22</w:t>
        </w:r>
      </w:hyperlink>
      <w:r>
        <w:rPr>
          <w:rFonts w:ascii="Times New Roman" w:hAnsi="Times New Roman" w:cs="Times New Roman"/>
          <w:sz w:val="20"/>
          <w:szCs w:val="20"/>
        </w:rPr>
        <w:t xml:space="preserve"> - </w:t>
      </w:r>
      <w:hyperlink r:id="rId87" w:history="1">
        <w:r>
          <w:rPr>
            <w:rFonts w:ascii="Times New Roman" w:hAnsi="Times New Roman" w:cs="Times New Roman"/>
            <w:color w:val="0000FF"/>
            <w:sz w:val="20"/>
            <w:szCs w:val="20"/>
          </w:rPr>
          <w:t>23</w:t>
        </w:r>
      </w:hyperlink>
      <w:r>
        <w:rPr>
          <w:rFonts w:ascii="Times New Roman" w:hAnsi="Times New Roman" w:cs="Times New Roman"/>
          <w:sz w:val="20"/>
          <w:szCs w:val="20"/>
        </w:rPr>
        <w:t xml:space="preserve"> Основ ценообразования, </w:t>
      </w:r>
      <w:hyperlink w:anchor="Par123" w:history="1">
        <w:r>
          <w:rPr>
            <w:rFonts w:ascii="Times New Roman" w:hAnsi="Times New Roman" w:cs="Times New Roman"/>
            <w:color w:val="0000FF"/>
            <w:sz w:val="20"/>
            <w:szCs w:val="20"/>
          </w:rPr>
          <w:t>пунктом 16</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bookmarkStart w:id="28" w:name="Par242"/>
      <w:bookmarkEnd w:id="28"/>
      <w:r>
        <w:rPr>
          <w:rFonts w:ascii="Times New Roman" w:hAnsi="Times New Roman" w:cs="Times New Roman"/>
          <w:b/>
          <w:bCs/>
          <w:sz w:val="20"/>
          <w:szCs w:val="20"/>
        </w:rPr>
        <w:t>V. Расчет необходимой валовой выручки методом</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сравнения аналогов</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ред. </w:t>
      </w:r>
      <w:hyperlink r:id="rId8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34. Метод сравнения аналогов применяется в отношении регулируемой организации, осуществляющей транспортировку холодной воды в зоне деятельности гарантирующей организации, если протяженность сетей холодного водоснабжения, эксплуатируемых этой регулируемой организацией, не превышает 10 километров в централизованной системе холодного водоснабжения.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Метод сравнения аналогов применяется в отношении регулируемой организации, осуществляющей транспортировку сточных вод в зоне деятельности гарантирующей организации, если протяженность сетей водоотведения, эксплуатируемых этой регулируемой организацией, не превышает 10 километров в централизованной системе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35. При установлении тарифов с применением метода сравнения аналогов величина необходимой валовой выручки регулируемой организации на очередной период регулирования рассчитывается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C96F958" wp14:editId="06E869D5">
            <wp:extent cx="1838325" cy="238125"/>
            <wp:effectExtent l="0" t="0" r="9525"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38325" cy="238125"/>
                    </a:xfrm>
                    <a:prstGeom prst="rect">
                      <a:avLst/>
                    </a:prstGeom>
                    <a:noFill/>
                    <a:ln>
                      <a:noFill/>
                    </a:ln>
                  </pic:spPr>
                </pic:pic>
              </a:graphicData>
            </a:graphic>
          </wp:inline>
        </w:drawing>
      </w:r>
      <w:r>
        <w:rPr>
          <w:rFonts w:ascii="Times New Roman" w:hAnsi="Times New Roman" w:cs="Times New Roman"/>
          <w:sz w:val="20"/>
          <w:szCs w:val="20"/>
        </w:rPr>
        <w:t xml:space="preserve"> (2)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8"/>
          <w:sz w:val="20"/>
          <w:szCs w:val="20"/>
          <w:lang w:eastAsia="ru-RU"/>
        </w:rPr>
        <w:drawing>
          <wp:inline distT="0" distB="0" distL="0" distR="0" wp14:anchorId="1D30C116" wp14:editId="726C1F03">
            <wp:extent cx="2705100" cy="48577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05100" cy="485775"/>
                    </a:xfrm>
                    <a:prstGeom prst="rect">
                      <a:avLst/>
                    </a:prstGeom>
                    <a:noFill/>
                    <a:ln>
                      <a:noFill/>
                    </a:ln>
                  </pic:spPr>
                </pic:pic>
              </a:graphicData>
            </a:graphic>
          </wp:inline>
        </w:drawing>
      </w:r>
      <w:r>
        <w:rPr>
          <w:rFonts w:ascii="Times New Roman" w:hAnsi="Times New Roman" w:cs="Times New Roman"/>
          <w:sz w:val="20"/>
          <w:szCs w:val="20"/>
        </w:rPr>
        <w:t xml:space="preserve"> (2.1)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29" w:name="Par255"/>
      <w:bookmarkEnd w:id="29"/>
      <w:r>
        <w:rPr>
          <w:rFonts w:ascii="Times New Roman" w:hAnsi="Times New Roman" w:cs="Times New Roman"/>
          <w:noProof/>
          <w:position w:val="-11"/>
          <w:sz w:val="20"/>
          <w:szCs w:val="20"/>
          <w:lang w:eastAsia="ru-RU"/>
        </w:rPr>
        <w:drawing>
          <wp:inline distT="0" distB="0" distL="0" distR="0" wp14:anchorId="38EEB4DF" wp14:editId="389D8F60">
            <wp:extent cx="2047875" cy="276225"/>
            <wp:effectExtent l="0" t="0" r="9525"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47875" cy="276225"/>
                    </a:xfrm>
                    <a:prstGeom prst="rect">
                      <a:avLst/>
                    </a:prstGeom>
                    <a:noFill/>
                    <a:ln>
                      <a:noFill/>
                    </a:ln>
                  </pic:spPr>
                </pic:pic>
              </a:graphicData>
            </a:graphic>
          </wp:inline>
        </w:drawing>
      </w:r>
      <w:r>
        <w:rPr>
          <w:rFonts w:ascii="Times New Roman" w:hAnsi="Times New Roman" w:cs="Times New Roman"/>
          <w:sz w:val="20"/>
          <w:szCs w:val="20"/>
        </w:rPr>
        <w:t xml:space="preserve"> (2.2)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F9230D7" wp14:editId="76686F36">
            <wp:extent cx="409575" cy="238125"/>
            <wp:effectExtent l="0" t="0" r="9525"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установленная на год i в отношении n-ной регулируемой организации,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УТРi - удельные текущие расходы гарантирующей организации в расчете на километр протяженности водопроводной (канализационной) сети, определенной в сопоставимых величинах по </w:t>
      </w:r>
      <w:hyperlink w:anchor="Par274" w:history="1">
        <w:r>
          <w:rPr>
            <w:rFonts w:ascii="Times New Roman" w:hAnsi="Times New Roman" w:cs="Times New Roman"/>
            <w:color w:val="0000FF"/>
            <w:sz w:val="20"/>
            <w:szCs w:val="20"/>
          </w:rPr>
          <w:t>формуле (3)</w:t>
        </w:r>
      </w:hyperlink>
      <w:r>
        <w:rPr>
          <w:rFonts w:ascii="Times New Roman" w:hAnsi="Times New Roman" w:cs="Times New Roman"/>
          <w:sz w:val="20"/>
          <w:szCs w:val="20"/>
        </w:rPr>
        <w:t xml:space="preserve"> настоящих Методических указаний, планируемые на год i, тыс. руб./усл.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lastRenderedPageBreak/>
        <w:drawing>
          <wp:inline distT="0" distB="0" distL="0" distR="0" wp14:anchorId="1F7F52EB" wp14:editId="729CD537">
            <wp:extent cx="180975" cy="238125"/>
            <wp:effectExtent l="0" t="0" r="9525"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ascii="Times New Roman" w:hAnsi="Times New Roman" w:cs="Times New Roman"/>
          <w:sz w:val="20"/>
          <w:szCs w:val="20"/>
        </w:rPr>
        <w:t xml:space="preserve"> - протяженность водопроводной (канализационной) сети n-ной регулируемой организации, используемой для транспортировки холодной воды (сточных вод) абонентам гарантирующей организации, определенная в сопоставимых величинах по </w:t>
      </w:r>
      <w:hyperlink w:anchor="Par274" w:history="1">
        <w:r>
          <w:rPr>
            <w:rFonts w:ascii="Times New Roman" w:hAnsi="Times New Roman" w:cs="Times New Roman"/>
            <w:color w:val="0000FF"/>
            <w:sz w:val="20"/>
            <w:szCs w:val="20"/>
          </w:rPr>
          <w:t>формуле (3)</w:t>
        </w:r>
      </w:hyperlink>
      <w:r>
        <w:rPr>
          <w:rFonts w:ascii="Times New Roman" w:hAnsi="Times New Roman" w:cs="Times New Roman"/>
          <w:sz w:val="20"/>
          <w:szCs w:val="20"/>
        </w:rPr>
        <w:t xml:space="preserve"> настоящих Методических указаний, на год i, 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5AC82A4" wp14:editId="461C712B">
            <wp:extent cx="428625" cy="238125"/>
            <wp:effectExtent l="0" t="0" r="9525"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rFonts w:ascii="Times New Roman" w:hAnsi="Times New Roman" w:cs="Times New Roman"/>
          <w:sz w:val="20"/>
          <w:szCs w:val="20"/>
        </w:rPr>
        <w:t xml:space="preserve"> - нормативный уровень расходов на амортизацию основных средств и нематериальных активов, относимых к объектам централизованной (централизованных) системы (систем) водоснабжения и (или) водоотведения, используемым для транспортировки воды (сточных вод), в расчете на километр протяженности водопроводной (канализационной) сети, определенной в сопоставимых величинах, установленный на год i в отношении n-ной регулируемой организации, тыс. руб./усл.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C2E632D" wp14:editId="2A9F860C">
            <wp:extent cx="219075" cy="23812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Pr>
          <w:rFonts w:ascii="Times New Roman" w:hAnsi="Times New Roman" w:cs="Times New Roman"/>
          <w:sz w:val="20"/>
          <w:szCs w:val="20"/>
        </w:rPr>
        <w:t xml:space="preserve"> - величина расходов n-ной регулируемой организации на амортизацию основных средств и нематериальных активов, относимых к объектам централизованной системы водоснабжения и (или) водоотведения, используемым для транспортировки воды (сточных вод), определенная в соответствии с </w:t>
      </w:r>
      <w:hyperlink w:anchor="Par207" w:history="1">
        <w:r>
          <w:rPr>
            <w:rFonts w:ascii="Times New Roman" w:hAnsi="Times New Roman" w:cs="Times New Roman"/>
            <w:color w:val="0000FF"/>
            <w:sz w:val="20"/>
            <w:szCs w:val="20"/>
          </w:rPr>
          <w:t>пунктом 28</w:t>
        </w:r>
      </w:hyperlink>
      <w:r>
        <w:rPr>
          <w:rFonts w:ascii="Times New Roman" w:hAnsi="Times New Roman" w:cs="Times New Roman"/>
          <w:sz w:val="20"/>
          <w:szCs w:val="20"/>
        </w:rPr>
        <w:t xml:space="preserve"> настоящих Методических указаний, в расчете на километр протяженности водопроводной (канализационной) сети, определенной в сопоставимых величинах, в году i, тыс. руб./усл.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44E645E3" wp14:editId="5113F2E6">
            <wp:extent cx="428625" cy="257175"/>
            <wp:effectExtent l="0" t="0" r="9525"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текущие расходы гарантирующей организации, отнесенные на вид деятельности по транспортировке холодной воды (сточных вод) или на технологический процесс транспортировки холодной воды (сточных вод) в составе деятельности по водоснабжению (водоотведению), в году (i-2). В текущих расходах гарантирующей организации не учитываются расходы на электрическую энергию в случае, если регулируемая организация, осуществляющая транспортировку холодной воды и (или) транспортировку сточных вод, не владеет на законных основаниях насосными станциями, канализационными насосными станциями, насосным оборудованием, иным оборудованием, потребляющим электрическую энергию, затрачиваемую в технологическом процессе транспортировки воды и (или) транспортировки сточных вод,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055A4ECE" wp14:editId="748DE1DD">
            <wp:extent cx="342900" cy="257175"/>
            <wp:effectExtent l="0" t="0" r="0" b="952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Pr>
          <w:rFonts w:ascii="Times New Roman" w:hAnsi="Times New Roman" w:cs="Times New Roman"/>
          <w:sz w:val="20"/>
          <w:szCs w:val="20"/>
        </w:rPr>
        <w:t xml:space="preserve"> - протяженность водопроводной (канализационной) сети гарантирующей организации, используемой для транспортировки холодной воды (сточных вод), определенная в сопоставимых величинах по </w:t>
      </w:r>
      <w:hyperlink w:anchor="Par274" w:history="1">
        <w:r>
          <w:rPr>
            <w:rFonts w:ascii="Times New Roman" w:hAnsi="Times New Roman" w:cs="Times New Roman"/>
            <w:color w:val="0000FF"/>
            <w:sz w:val="20"/>
            <w:szCs w:val="20"/>
          </w:rPr>
          <w:t>формуле (3)</w:t>
        </w:r>
      </w:hyperlink>
      <w:r>
        <w:rPr>
          <w:rFonts w:ascii="Times New Roman" w:hAnsi="Times New Roman" w:cs="Times New Roman"/>
          <w:sz w:val="20"/>
          <w:szCs w:val="20"/>
        </w:rPr>
        <w:t xml:space="preserve"> настоящих Методических указаний, в году (i-2), 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36. Нормативный уровень расходов на амортизацию основных средств и нематериальных активов, относимых к объектам централизованной системы (централизованных систем) водоснабжения и (или) водоотведения, используемым для транспортировки воды (сточных вод), определяется органом регулирования тарифов в соответствии с </w:t>
      </w:r>
      <w:hyperlink w:anchor="Par255" w:history="1">
        <w:r>
          <w:rPr>
            <w:rFonts w:ascii="Times New Roman" w:hAnsi="Times New Roman" w:cs="Times New Roman"/>
            <w:color w:val="0000FF"/>
            <w:sz w:val="20"/>
            <w:szCs w:val="20"/>
          </w:rPr>
          <w:t>формулой (2.2)</w:t>
        </w:r>
      </w:hyperlink>
      <w:r>
        <w:rPr>
          <w:rFonts w:ascii="Times New Roman" w:hAnsi="Times New Roman" w:cs="Times New Roman"/>
          <w:sz w:val="20"/>
          <w:szCs w:val="20"/>
        </w:rPr>
        <w:t xml:space="preserve"> исходя из величины расходов регулируемой организации на амортизацию основных средств и нематериальных активов, определенной в соответствии с </w:t>
      </w:r>
      <w:hyperlink w:anchor="Par207" w:history="1">
        <w:r>
          <w:rPr>
            <w:rFonts w:ascii="Times New Roman" w:hAnsi="Times New Roman" w:cs="Times New Roman"/>
            <w:color w:val="0000FF"/>
            <w:sz w:val="20"/>
            <w:szCs w:val="20"/>
          </w:rPr>
          <w:t>пунктом 28</w:t>
        </w:r>
      </w:hyperlink>
      <w:r>
        <w:rPr>
          <w:rFonts w:ascii="Times New Roman" w:hAnsi="Times New Roman" w:cs="Times New Roman"/>
          <w:sz w:val="20"/>
          <w:szCs w:val="20"/>
        </w:rPr>
        <w:t xml:space="preserve"> настоящих Методических указаний, в расчете на километр протяженности водопроводной (канализационной) сети, определенной в сопоставимых величинах, в размере, не превышающем 15 процентов удельных текущих расходов гарантирующей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37. Текущие расходы гарантирующей организации на транспортировку воды (сточных вод) по соответствующей централизованной системе водоснабжения и (или) водоотведения определяются с учетом положений </w:t>
      </w:r>
      <w:hyperlink w:anchor="Par334" w:history="1">
        <w:r>
          <w:rPr>
            <w:rFonts w:ascii="Times New Roman" w:hAnsi="Times New Roman" w:cs="Times New Roman"/>
            <w:color w:val="0000FF"/>
            <w:sz w:val="20"/>
            <w:szCs w:val="20"/>
          </w:rPr>
          <w:t>главы VI.I</w:t>
        </w:r>
      </w:hyperlink>
      <w:r>
        <w:rPr>
          <w:rFonts w:ascii="Times New Roman" w:hAnsi="Times New Roman" w:cs="Times New Roman"/>
          <w:sz w:val="20"/>
          <w:szCs w:val="20"/>
        </w:rPr>
        <w:t xml:space="preserve"> настоящих Методических указаний. При этом для расчета тарифов регулируемых организаций методом сравнения аналогов в составе таких расходов не учитываются: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доходы и расходы гарантирующей организации, возникшие в связи с применением штрафных санкций, выплатой компенсаций и корректировкой тарифов в связи с исполнением (неисполнением) установленных значений показателей надежности, качества, энергетической эффективности объектов централизованных систем холодного водоснабжения и (или) водоотведения гарантирующей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плату за негативное воздействие на окружающую среду;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предусмотренные </w:t>
      </w:r>
      <w:hyperlink w:anchor="Par351" w:history="1">
        <w:r>
          <w:rPr>
            <w:rFonts w:ascii="Times New Roman" w:hAnsi="Times New Roman" w:cs="Times New Roman"/>
            <w:color w:val="0000FF"/>
            <w:sz w:val="20"/>
            <w:szCs w:val="20"/>
          </w:rPr>
          <w:t>подпунктом 4 пункта 44</w:t>
        </w:r>
      </w:hyperlink>
      <w:r>
        <w:rPr>
          <w:rFonts w:ascii="Times New Roman" w:hAnsi="Times New Roman" w:cs="Times New Roman"/>
          <w:sz w:val="20"/>
          <w:szCs w:val="20"/>
        </w:rPr>
        <w:t xml:space="preserve"> и </w:t>
      </w:r>
      <w:hyperlink w:anchor="Par390" w:history="1">
        <w:r>
          <w:rPr>
            <w:rFonts w:ascii="Times New Roman" w:hAnsi="Times New Roman" w:cs="Times New Roman"/>
            <w:color w:val="0000FF"/>
            <w:sz w:val="20"/>
            <w:szCs w:val="20"/>
          </w:rPr>
          <w:t>подпунктами 3</w:t>
        </w:r>
      </w:hyperlink>
      <w:r>
        <w:rPr>
          <w:rFonts w:ascii="Times New Roman" w:hAnsi="Times New Roman" w:cs="Times New Roman"/>
          <w:sz w:val="20"/>
          <w:szCs w:val="20"/>
        </w:rPr>
        <w:t xml:space="preserve"> - </w:t>
      </w:r>
      <w:hyperlink w:anchor="Par393" w:history="1">
        <w:r>
          <w:rPr>
            <w:rFonts w:ascii="Times New Roman" w:hAnsi="Times New Roman" w:cs="Times New Roman"/>
            <w:color w:val="0000FF"/>
            <w:sz w:val="20"/>
            <w:szCs w:val="20"/>
          </w:rPr>
          <w:t>5</w:t>
        </w:r>
      </w:hyperlink>
      <w:r>
        <w:rPr>
          <w:rFonts w:ascii="Times New Roman" w:hAnsi="Times New Roman" w:cs="Times New Roman"/>
          <w:sz w:val="20"/>
          <w:szCs w:val="20"/>
        </w:rPr>
        <w:t xml:space="preserve">, </w:t>
      </w:r>
      <w:hyperlink w:anchor="Par395" w:history="1">
        <w:r>
          <w:rPr>
            <w:rFonts w:ascii="Times New Roman" w:hAnsi="Times New Roman" w:cs="Times New Roman"/>
            <w:color w:val="0000FF"/>
            <w:sz w:val="20"/>
            <w:szCs w:val="20"/>
          </w:rPr>
          <w:t>7</w:t>
        </w:r>
      </w:hyperlink>
      <w:r>
        <w:rPr>
          <w:rFonts w:ascii="Times New Roman" w:hAnsi="Times New Roman" w:cs="Times New Roman"/>
          <w:sz w:val="20"/>
          <w:szCs w:val="20"/>
        </w:rPr>
        <w:t xml:space="preserve"> - </w:t>
      </w:r>
      <w:hyperlink w:anchor="Par400" w:history="1">
        <w:r>
          <w:rPr>
            <w:rFonts w:ascii="Times New Roman" w:hAnsi="Times New Roman" w:cs="Times New Roman"/>
            <w:color w:val="0000FF"/>
            <w:sz w:val="20"/>
            <w:szCs w:val="20"/>
          </w:rPr>
          <w:t>10 пункта 49</w:t>
        </w:r>
      </w:hyperlink>
      <w:r>
        <w:rPr>
          <w:rFonts w:ascii="Times New Roman" w:hAnsi="Times New Roman" w:cs="Times New Roman"/>
          <w:sz w:val="20"/>
          <w:szCs w:val="20"/>
        </w:rPr>
        <w:t xml:space="preserve"> настоящих Методических указаний, за исключением арендной платы за землю;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содержание резервуаров для воды, водопроводных насосных станций, напорных канализационных трубопроводов, канализационных насосных станций (в случае, если регулируемая организация, осуществляющая транспортировку холодной воды и (или) транспортировку сточных вод, не владеет на законных основаниях насосными станциями, канализационными насосными станциями);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услуг других регулируемых организаций в сфере водоснабжения и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38. Протяженность водопроводной (канализационной) сети регулируемой организации определяется в сопоставимых величинах, расходы на прокладку которой эквивалентны средним расходам на прокладку сети диаметром 500 мм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30" w:name="Par274"/>
      <w:bookmarkEnd w:id="30"/>
      <w:r>
        <w:rPr>
          <w:rFonts w:ascii="Times New Roman" w:hAnsi="Times New Roman" w:cs="Times New Roman"/>
          <w:noProof/>
          <w:position w:val="-17"/>
          <w:sz w:val="20"/>
          <w:szCs w:val="20"/>
          <w:lang w:eastAsia="ru-RU"/>
        </w:rPr>
        <w:drawing>
          <wp:inline distT="0" distB="0" distL="0" distR="0" wp14:anchorId="021EE1DC" wp14:editId="75CB7116">
            <wp:extent cx="990600" cy="3429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r>
        <w:rPr>
          <w:rFonts w:ascii="Times New Roman" w:hAnsi="Times New Roman" w:cs="Times New Roman"/>
          <w:sz w:val="20"/>
          <w:szCs w:val="20"/>
        </w:rPr>
        <w:t xml:space="preserve"> (3)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18BE53BB" wp14:editId="589EE55A">
            <wp:extent cx="647700" cy="42862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noFill/>
                    <a:ln>
                      <a:noFill/>
                    </a:ln>
                  </pic:spPr>
                </pic:pic>
              </a:graphicData>
            </a:graphic>
          </wp:inline>
        </w:drawing>
      </w:r>
      <w:r>
        <w:rPr>
          <w:rFonts w:ascii="Times New Roman" w:hAnsi="Times New Roman" w:cs="Times New Roman"/>
          <w:sz w:val="20"/>
          <w:szCs w:val="20"/>
        </w:rPr>
        <w:t xml:space="preserve"> (3.1)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L</w:t>
      </w:r>
      <w:r>
        <w:rPr>
          <w:rFonts w:ascii="Times New Roman" w:hAnsi="Times New Roman" w:cs="Times New Roman"/>
          <w:sz w:val="20"/>
          <w:szCs w:val="20"/>
          <w:vertAlign w:val="subscript"/>
        </w:rPr>
        <w:t>i</w:t>
      </w:r>
      <w:r>
        <w:rPr>
          <w:rFonts w:ascii="Times New Roman" w:hAnsi="Times New Roman" w:cs="Times New Roman"/>
          <w:sz w:val="20"/>
          <w:szCs w:val="20"/>
        </w:rPr>
        <w:t xml:space="preserve"> - протяженность в километрах трубопроводов организации i в сопоставимых величинах, усл.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L</w:t>
      </w:r>
      <w:r>
        <w:rPr>
          <w:rFonts w:ascii="Times New Roman" w:hAnsi="Times New Roman" w:cs="Times New Roman"/>
          <w:sz w:val="20"/>
          <w:szCs w:val="20"/>
          <w:vertAlign w:val="subscript"/>
        </w:rPr>
        <w:t>d,i</w:t>
      </w:r>
      <w:r>
        <w:rPr>
          <w:rFonts w:ascii="Times New Roman" w:hAnsi="Times New Roman" w:cs="Times New Roman"/>
          <w:sz w:val="20"/>
          <w:szCs w:val="20"/>
        </w:rPr>
        <w:t xml:space="preserve"> - протяженность в километрах трубопроводов диаметра d организации i,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d</w:t>
      </w:r>
      <w:r>
        <w:rPr>
          <w:rFonts w:ascii="Times New Roman" w:hAnsi="Times New Roman" w:cs="Times New Roman"/>
          <w:sz w:val="20"/>
          <w:szCs w:val="20"/>
        </w:rPr>
        <w:t xml:space="preserve"> - коэффициент дифференциации стоимости строительства сетей в зависимости от их диаметра d;</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z w:val="20"/>
          <w:szCs w:val="20"/>
          <w:vertAlign w:val="subscript"/>
        </w:rPr>
        <w:t>d</w:t>
      </w:r>
      <w:r>
        <w:rPr>
          <w:rFonts w:ascii="Times New Roman" w:hAnsi="Times New Roman" w:cs="Times New Roman"/>
          <w:sz w:val="20"/>
          <w:szCs w:val="20"/>
        </w:rPr>
        <w:t xml:space="preserve"> - средняя стоимость строительства трубопровода диаметра d, тыс. руб./км;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z w:val="20"/>
          <w:szCs w:val="20"/>
          <w:vertAlign w:val="subscript"/>
        </w:rPr>
        <w:t>500</w:t>
      </w:r>
      <w:r>
        <w:rPr>
          <w:rFonts w:ascii="Times New Roman" w:hAnsi="Times New Roman" w:cs="Times New Roman"/>
          <w:sz w:val="20"/>
          <w:szCs w:val="20"/>
        </w:rPr>
        <w:t xml:space="preserve"> - средняя стоимость строительства трубопровода диаметра 500 мм, тыс. руб./км.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Средняя стоимость строительства трубопроводов определяется с использованием проектной документации и не должна превышать стоимость, определенную с применением укрупненных нормативов цены строительства и поправочных коэффициентов, необходимых для учета региональных особенностей, а в случае если такие нормативы не установлены, указанные расходы определяются органом регулирования тарифов с учетом представленной регулируемой организацией сметной стоимости таких работ.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Протяженность водопроводной (канализационной) сети регулируемой организации, определенная в сопоставимых величинах, определяется на основании коэффициентов дифференциации стоимости строительства гарантирующей организации. Гарантирующие организации представляют в органы регулирования тарифов информацию согласно </w:t>
      </w:r>
      <w:hyperlink w:anchor="Par6492" w:history="1">
        <w:r>
          <w:rPr>
            <w:rFonts w:ascii="Times New Roman" w:hAnsi="Times New Roman" w:cs="Times New Roman"/>
            <w:color w:val="0000FF"/>
            <w:sz w:val="20"/>
            <w:szCs w:val="20"/>
          </w:rPr>
          <w:t>Приложению 5.1</w:t>
        </w:r>
      </w:hyperlink>
      <w:r>
        <w:rPr>
          <w:rFonts w:ascii="Times New Roman" w:hAnsi="Times New Roman" w:cs="Times New Roman"/>
          <w:sz w:val="20"/>
          <w:szCs w:val="20"/>
        </w:rPr>
        <w:t xml:space="preserve"> к настоящим Методическим указаниям в отношении коэффициентов дифференциации стоимости строительства и протяженности водопроводной (канализационной) сети, определенной в сопоставимых величинах. Регулируемые организации, осуществляющие транспортировку холодной воды, транспортировку сточных вод в зоне деятельности гарантирующей организации, представляют в органы регулирования тарифов информацию согласно </w:t>
      </w:r>
      <w:hyperlink w:anchor="Par6563" w:history="1">
        <w:r>
          <w:rPr>
            <w:rFonts w:ascii="Times New Roman" w:hAnsi="Times New Roman" w:cs="Times New Roman"/>
            <w:color w:val="0000FF"/>
            <w:sz w:val="20"/>
            <w:szCs w:val="20"/>
          </w:rPr>
          <w:t>Приложению 5.2</w:t>
        </w:r>
      </w:hyperlink>
      <w:r>
        <w:rPr>
          <w:rFonts w:ascii="Times New Roman" w:hAnsi="Times New Roman" w:cs="Times New Roman"/>
          <w:sz w:val="20"/>
          <w:szCs w:val="20"/>
        </w:rPr>
        <w:t xml:space="preserve"> к настоящим Методическим указаниям.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VI. Расчет необходимой валовой выручки методом доходности</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39. Необходимая валовая выручка на очередной год долгосрочного периода регулирования рассчитывается на основе долгосрочных параметров регулирования тарифов и параметров расчета тарифов, установленных на этот год. При определении параметров расчета тарифов используются фактические значения таких параметров за истекшие периоды регулирования. Необходимая валовая выручка на очередной год корректируется с учетом отклонения фактических параметров расчета тарифов от значений, учтенных при расчете необходимой валовой выручки.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40. К долгосрочным параметрам регулирования тарифов относятся: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базовый уровень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индекс эффективности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норматив чистого оборотного капитала;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норма доходности инвестированного капитала;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срок возврата инвестированного капитала;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первоначальный размер инвестированного капитала;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показатели энергосбережения и энергетической эффективности (уровень потерь воды, удельный расход электрической энергии);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7 в ред. </w:t>
      </w:r>
      <w:hyperlink r:id="rId10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8) исключен. - </w:t>
      </w:r>
      <w:hyperlink r:id="rId101"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41. К параметрам расчета тарифов относятся: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(далее - индекс потребительских цен). В случае если срок долгосрочного периода регулирования тарифов превышает срок, на который установлен индекс потребительских цен, применяется индекс потребительских цен, установленный в прогнозе социально-экономического развития на последний год его действия;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стоимость покупки единицы энергетических ресурсов, в том числе электрической энергии (мощности), тепловой энергии и теплоносителя, а также стоимость покупки горячей, питьевой и технической воды, в том числе в целях оплаты потерь воды при транспортировке;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индекс изменения количества активов;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доходность долгосрочных государственных обязательств;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величина неподконтрольных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расчетные объемы отпуска воды, принимаемых сточных вод в соответствии с </w:t>
      </w:r>
      <w:hyperlink w:anchor="Par63" w:history="1">
        <w:r>
          <w:rPr>
            <w:rFonts w:ascii="Times New Roman" w:hAnsi="Times New Roman" w:cs="Times New Roman"/>
            <w:color w:val="0000FF"/>
            <w:sz w:val="20"/>
            <w:szCs w:val="20"/>
          </w:rPr>
          <w:t>главой II</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стоимость и сроки начала строительства (реконструкции) и ввода в эксплуатацию объектов, предусмотренных утвержденной инвестиционной программой регулируемой организации, источники финансирования утвержденной инвестиционной программы, включая плату за подключение к системам водоснабжения и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31" w:name="Par309"/>
      <w:bookmarkEnd w:id="31"/>
      <w:r>
        <w:rPr>
          <w:rFonts w:ascii="Times New Roman" w:hAnsi="Times New Roman" w:cs="Times New Roman"/>
          <w:sz w:val="20"/>
          <w:szCs w:val="20"/>
        </w:rPr>
        <w:t>42. Необходимая валовая выручка регулируемой организации на очередной год долгосрочного периода регулирования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2D1A547" wp14:editId="1FBE911A">
            <wp:extent cx="2276475" cy="257175"/>
            <wp:effectExtent l="0" t="0" r="9525" b="952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76475" cy="257175"/>
                    </a:xfrm>
                    <a:prstGeom prst="rect">
                      <a:avLst/>
                    </a:prstGeom>
                    <a:noFill/>
                    <a:ln>
                      <a:noFill/>
                    </a:ln>
                  </pic:spPr>
                </pic:pic>
              </a:graphicData>
            </a:graphic>
          </wp:inline>
        </w:drawing>
      </w:r>
      <w:r>
        <w:rPr>
          <w:rFonts w:ascii="Times New Roman" w:hAnsi="Times New Roman" w:cs="Times New Roman"/>
          <w:sz w:val="20"/>
          <w:szCs w:val="20"/>
        </w:rPr>
        <w:t>, (4)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32" w:name="Par313"/>
      <w:bookmarkEnd w:id="32"/>
      <w:r>
        <w:rPr>
          <w:rFonts w:ascii="Times New Roman" w:hAnsi="Times New Roman" w:cs="Times New Roman"/>
          <w:noProof/>
          <w:position w:val="-12"/>
          <w:sz w:val="20"/>
          <w:szCs w:val="20"/>
          <w:lang w:eastAsia="ru-RU"/>
        </w:rPr>
        <w:drawing>
          <wp:inline distT="0" distB="0" distL="0" distR="0" wp14:anchorId="6CD15308" wp14:editId="356B49C6">
            <wp:extent cx="2438400" cy="276225"/>
            <wp:effectExtent l="0" t="0" r="0"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38400" cy="276225"/>
                    </a:xfrm>
                    <a:prstGeom prst="rect">
                      <a:avLst/>
                    </a:prstGeom>
                    <a:noFill/>
                    <a:ln>
                      <a:noFill/>
                    </a:ln>
                  </pic:spPr>
                </pic:pic>
              </a:graphicData>
            </a:graphic>
          </wp:inline>
        </w:drawing>
      </w:r>
      <w:r>
        <w:rPr>
          <w:rFonts w:ascii="Times New Roman" w:hAnsi="Times New Roman" w:cs="Times New Roman"/>
          <w:sz w:val="20"/>
          <w:szCs w:val="20"/>
        </w:rPr>
        <w:t>, (5)</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33" w:name="Par315"/>
      <w:bookmarkEnd w:id="33"/>
      <w:r>
        <w:rPr>
          <w:rFonts w:ascii="Times New Roman" w:hAnsi="Times New Roman" w:cs="Times New Roman"/>
          <w:noProof/>
          <w:position w:val="-23"/>
          <w:sz w:val="20"/>
          <w:szCs w:val="20"/>
          <w:lang w:eastAsia="ru-RU"/>
        </w:rPr>
        <w:drawing>
          <wp:inline distT="0" distB="0" distL="0" distR="0" wp14:anchorId="6FFA121C" wp14:editId="6795AC90">
            <wp:extent cx="2257425" cy="41910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57425" cy="419100"/>
                    </a:xfrm>
                    <a:prstGeom prst="rect">
                      <a:avLst/>
                    </a:prstGeom>
                    <a:noFill/>
                    <a:ln>
                      <a:noFill/>
                    </a:ln>
                  </pic:spPr>
                </pic:pic>
              </a:graphicData>
            </a:graphic>
          </wp:inline>
        </w:drawing>
      </w:r>
      <w:r>
        <w:rPr>
          <w:rFonts w:ascii="Times New Roman" w:hAnsi="Times New Roman" w:cs="Times New Roman"/>
          <w:sz w:val="20"/>
          <w:szCs w:val="20"/>
        </w:rPr>
        <w:t>, (6)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409FBD5" wp14:editId="3E0F0D52">
            <wp:extent cx="428625" cy="2571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устанавливаемая на год i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27ECED7" wp14:editId="35D1F5F5">
            <wp:extent cx="476250" cy="25717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76250" cy="257175"/>
                    </a:xfrm>
                    <a:prstGeom prst="rect">
                      <a:avLst/>
                    </a:prstGeom>
                    <a:noFill/>
                    <a:ln>
                      <a:noFill/>
                    </a:ln>
                  </pic:spPr>
                </pic:pic>
              </a:graphicData>
            </a:graphic>
          </wp:inline>
        </w:drawing>
      </w:r>
      <w:r>
        <w:rPr>
          <w:rFonts w:ascii="Times New Roman" w:hAnsi="Times New Roman" w:cs="Times New Roman"/>
          <w:sz w:val="20"/>
          <w:szCs w:val="20"/>
        </w:rPr>
        <w:t xml:space="preserve"> - величина изменения необходимой валовой выручки, определяемого на год i, производимого в целях сглаживания тарифов. Величина сглаживания определяется при установлении или корректировке тарифа на долгосрочный период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7"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2D58867" wp14:editId="64DEAD6F">
            <wp:extent cx="257175" cy="228600"/>
            <wp:effectExtent l="0" t="0" r="952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hAnsi="Times New Roman" w:cs="Times New Roman"/>
          <w:sz w:val="20"/>
          <w:szCs w:val="20"/>
        </w:rPr>
        <w:t xml:space="preserve"> - текущие расходы регулируемой организации, планируемые на год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DB0693E" wp14:editId="03C25B46">
            <wp:extent cx="295275" cy="228600"/>
            <wp:effectExtent l="0" t="0" r="952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средства, обеспечивающие возврат инвестированного капитала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234478C" wp14:editId="3AA9ABC3">
            <wp:extent cx="295275" cy="228600"/>
            <wp:effectExtent l="0" t="0" r="952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средства, обеспечивающие получение дохода на инвестированный капитал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A2F32E1" wp14:editId="1FBFAFD1">
            <wp:extent cx="523875" cy="257175"/>
            <wp:effectExtent l="0" t="0" r="9525"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3875" cy="257175"/>
                    </a:xfrm>
                    <a:prstGeom prst="rect">
                      <a:avLst/>
                    </a:prstGeom>
                    <a:noFill/>
                    <a:ln>
                      <a:noFill/>
                    </a:ln>
                  </pic:spPr>
                </pic:pic>
              </a:graphicData>
            </a:graphic>
          </wp:inline>
        </w:drawing>
      </w:r>
      <w:r>
        <w:rPr>
          <w:rFonts w:ascii="Times New Roman" w:hAnsi="Times New Roman" w:cs="Times New Roman"/>
          <w:sz w:val="20"/>
          <w:szCs w:val="20"/>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НД - норма доходности на капитал, инвестированный после начала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lastRenderedPageBreak/>
        <w:drawing>
          <wp:inline distT="0" distB="0" distL="0" distR="0" wp14:anchorId="17C8A2BF" wp14:editId="0718273F">
            <wp:extent cx="504825" cy="2571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Pr>
          <w:rFonts w:ascii="Times New Roman" w:hAnsi="Times New Roman" w:cs="Times New Roman"/>
          <w:sz w:val="20"/>
          <w:szCs w:val="20"/>
        </w:rPr>
        <w:t xml:space="preserve"> - величина сглаживания необходимой валовой выручки, определенная органом регулирования. Величина сглаживания, примененная органом регулирования в расчетном периоде регулирования (i) в течение долгосрочного периода регулирования, сводится к нулю не позднее последнего расчетного периода регулирования текущего долгосрочного периода регулирования, в том числе с учетом положений </w:t>
      </w:r>
      <w:hyperlink w:anchor="Par331" w:history="1">
        <w:r>
          <w:rPr>
            <w:rFonts w:ascii="Times New Roman" w:hAnsi="Times New Roman" w:cs="Times New Roman"/>
            <w:color w:val="0000FF"/>
            <w:sz w:val="20"/>
            <w:szCs w:val="20"/>
          </w:rPr>
          <w:t>абзаца шестнадцатого</w:t>
        </w:r>
      </w:hyperlink>
      <w:r>
        <w:rPr>
          <w:rFonts w:ascii="Times New Roman" w:hAnsi="Times New Roman" w:cs="Times New Roman"/>
          <w:sz w:val="20"/>
          <w:szCs w:val="20"/>
        </w:rPr>
        <w:t xml:space="preserve"> настоящего пункта;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Приказов ФАС России от 29.10.2019 </w:t>
      </w:r>
      <w:hyperlink r:id="rId113" w:history="1">
        <w:r>
          <w:rPr>
            <w:rFonts w:ascii="Times New Roman" w:hAnsi="Times New Roman" w:cs="Times New Roman"/>
            <w:color w:val="0000FF"/>
            <w:sz w:val="20"/>
            <w:szCs w:val="20"/>
          </w:rPr>
          <w:t>N 1438/19</w:t>
        </w:r>
      </w:hyperlink>
      <w:r>
        <w:rPr>
          <w:rFonts w:ascii="Times New Roman" w:hAnsi="Times New Roman" w:cs="Times New Roman"/>
          <w:sz w:val="20"/>
          <w:szCs w:val="20"/>
        </w:rPr>
        <w:t xml:space="preserve">, от 27.05.2024 </w:t>
      </w:r>
      <w:hyperlink r:id="rId114" w:history="1">
        <w:r>
          <w:rPr>
            <w:rFonts w:ascii="Times New Roman" w:hAnsi="Times New Roman" w:cs="Times New Roman"/>
            <w:color w:val="0000FF"/>
            <w:sz w:val="20"/>
            <w:szCs w:val="20"/>
          </w:rPr>
          <w:t>N 363/24</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4A655A8" wp14:editId="3C30E998">
            <wp:extent cx="447675" cy="257175"/>
            <wp:effectExtent l="0" t="0" r="9525"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устанавливаемая на год i долгосрочного периода регулирования без учета сглаживания,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Сглаживание необходимой валовой выручки осуществляется посредством переноса в соответствии с </w:t>
      </w:r>
      <w:hyperlink w:anchor="Par313" w:history="1">
        <w:r>
          <w:rPr>
            <w:rFonts w:ascii="Times New Roman" w:hAnsi="Times New Roman" w:cs="Times New Roman"/>
            <w:color w:val="0000FF"/>
            <w:sz w:val="20"/>
            <w:szCs w:val="20"/>
          </w:rPr>
          <w:t>формулой (5)</w:t>
        </w:r>
      </w:hyperlink>
      <w:r>
        <w:rPr>
          <w:rFonts w:ascii="Times New Roman" w:hAnsi="Times New Roman" w:cs="Times New Roman"/>
          <w:sz w:val="20"/>
          <w:szCs w:val="20"/>
        </w:rPr>
        <w:t xml:space="preserve"> части необходимой валовой выручки, рассчитанной для расчетного периода регулирования (расчетных периодов регулирования), на последующие расчетные периоды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16"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27.05.2024 N 363/24)</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34" w:name="Par331"/>
      <w:bookmarkEnd w:id="34"/>
      <w:r>
        <w:rPr>
          <w:rFonts w:ascii="Times New Roman" w:hAnsi="Times New Roman" w:cs="Times New Roman"/>
          <w:sz w:val="20"/>
          <w:szCs w:val="20"/>
        </w:rPr>
        <w:t xml:space="preserve">Если в предложении об установлении тарифов регулируемой организации, которая эксплуатирует объекты централизованных систем водоснабжения и (или) водоотведения в соответствии с концессионным соглашением, при расчете величины сглаживания необходимой валовой выручки указано на применение величины, превышающей значение 0,12, предусмотренное </w:t>
      </w:r>
      <w:hyperlink w:anchor="Par313" w:history="1">
        <w:r>
          <w:rPr>
            <w:rFonts w:ascii="Times New Roman" w:hAnsi="Times New Roman" w:cs="Times New Roman"/>
            <w:color w:val="0000FF"/>
            <w:sz w:val="20"/>
            <w:szCs w:val="20"/>
          </w:rPr>
          <w:t>формулой (5)</w:t>
        </w:r>
      </w:hyperlink>
      <w:r>
        <w:rPr>
          <w:rFonts w:ascii="Times New Roman" w:hAnsi="Times New Roman" w:cs="Times New Roman"/>
          <w:sz w:val="20"/>
          <w:szCs w:val="20"/>
        </w:rPr>
        <w:t xml:space="preserve">, и применение такой величины обосновано необходимостью соблюдения (установления) долгосрочных тарифов и (или) долгосрочных параметров регулирования тарифов, предусмотренных концессионным соглашением, то орган регулирования тарифов вместо величины 0,12 применяет значение, указанное в таком предложении. Применение указанной в настоящем абзаце величины сглаживания не влияет на величину сглаживания, определяемую по </w:t>
      </w:r>
      <w:hyperlink w:anchor="Par315" w:history="1">
        <w:r>
          <w:rPr>
            <w:rFonts w:ascii="Times New Roman" w:hAnsi="Times New Roman" w:cs="Times New Roman"/>
            <w:color w:val="0000FF"/>
            <w:sz w:val="20"/>
            <w:szCs w:val="20"/>
          </w:rPr>
          <w:t>формуле (6)</w:t>
        </w:r>
      </w:hyperlink>
      <w:r>
        <w:rPr>
          <w:rFonts w:ascii="Times New Roman" w:hAnsi="Times New Roman" w:cs="Times New Roman"/>
          <w:sz w:val="20"/>
          <w:szCs w:val="20"/>
        </w:rPr>
        <w:t>.</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17"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27.05.2024 N 363/24)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bookmarkStart w:id="35" w:name="Par334"/>
      <w:bookmarkEnd w:id="35"/>
      <w:r>
        <w:rPr>
          <w:rFonts w:ascii="Times New Roman" w:hAnsi="Times New Roman" w:cs="Times New Roman"/>
          <w:b/>
          <w:bCs/>
          <w:sz w:val="20"/>
          <w:szCs w:val="20"/>
        </w:rPr>
        <w:t>VI.I. Расчет текущих расходов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43. Текущие расходы рассчитываются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B7E44B6" wp14:editId="761EC172">
            <wp:extent cx="1476375" cy="228600"/>
            <wp:effectExtent l="0" t="0" r="952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76375" cy="228600"/>
                    </a:xfrm>
                    <a:prstGeom prst="rect">
                      <a:avLst/>
                    </a:prstGeom>
                    <a:noFill/>
                    <a:ln>
                      <a:noFill/>
                    </a:ln>
                  </pic:spPr>
                </pic:pic>
              </a:graphicData>
            </a:graphic>
          </wp:inline>
        </w:drawing>
      </w:r>
      <w:r>
        <w:rPr>
          <w:rFonts w:ascii="Times New Roman" w:hAnsi="Times New Roman" w:cs="Times New Roman"/>
          <w:sz w:val="20"/>
          <w:szCs w:val="20"/>
        </w:rPr>
        <w:t>, (7)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4F02F9F" wp14:editId="5D5FAE51">
            <wp:extent cx="257175" cy="22860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hAnsi="Times New Roman" w:cs="Times New Roman"/>
          <w:sz w:val="20"/>
          <w:szCs w:val="20"/>
        </w:rPr>
        <w:t xml:space="preserve"> - текущие расходы,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AAF452C" wp14:editId="70FD8A77">
            <wp:extent cx="26670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Pr>
          <w:rFonts w:ascii="Times New Roman" w:hAnsi="Times New Roman" w:cs="Times New Roman"/>
          <w:sz w:val="20"/>
          <w:szCs w:val="20"/>
        </w:rPr>
        <w:t xml:space="preserve"> - операционные расходы,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9B5DD22" wp14:editId="60F13C63">
            <wp:extent cx="266700" cy="2286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Pr>
          <w:rFonts w:ascii="Times New Roman" w:hAnsi="Times New Roman" w:cs="Times New Roman"/>
          <w:sz w:val="20"/>
          <w:szCs w:val="20"/>
        </w:rPr>
        <w:t xml:space="preserve"> - расходы на приобретение электрической энергии (мощности), тепловой энергии, топлива, других видов энергетических ресурсов и холодной воды,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1A69668" wp14:editId="0EE4D19A">
            <wp:extent cx="276225" cy="228600"/>
            <wp:effectExtent l="0" t="0" r="952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Pr>
          <w:rFonts w:ascii="Times New Roman" w:hAnsi="Times New Roman" w:cs="Times New Roman"/>
          <w:sz w:val="20"/>
          <w:szCs w:val="20"/>
        </w:rPr>
        <w:t xml:space="preserve"> - неподконтрольные расходы,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определении расходов на приобретение электрической энергии (мощности) и холодной воды учитываются значения долгосрочных параметров регулирования тарифов, таких как удельный расход электрической энергии и уровень потерь воды в случае, если установление тарифов осуществляется на основе долгосрочных параметров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44. Операционные расходы включают в себя: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производственные расходы, определенные в соответствии с </w:t>
      </w:r>
      <w:hyperlink w:anchor="Par123" w:history="1">
        <w:r>
          <w:rPr>
            <w:rFonts w:ascii="Times New Roman" w:hAnsi="Times New Roman" w:cs="Times New Roman"/>
            <w:color w:val="0000FF"/>
            <w:sz w:val="20"/>
            <w:szCs w:val="20"/>
          </w:rPr>
          <w:t>пунктами 16</w:t>
        </w:r>
      </w:hyperlink>
      <w:r>
        <w:rPr>
          <w:rFonts w:ascii="Times New Roman" w:hAnsi="Times New Roman" w:cs="Times New Roman"/>
          <w:sz w:val="20"/>
          <w:szCs w:val="20"/>
        </w:rPr>
        <w:t xml:space="preserve"> - </w:t>
      </w:r>
      <w:hyperlink w:anchor="Par142" w:history="1">
        <w:r>
          <w:rPr>
            <w:rFonts w:ascii="Times New Roman" w:hAnsi="Times New Roman" w:cs="Times New Roman"/>
            <w:color w:val="0000FF"/>
            <w:sz w:val="20"/>
            <w:szCs w:val="20"/>
          </w:rPr>
          <w:t>18</w:t>
        </w:r>
      </w:hyperlink>
      <w:r>
        <w:rPr>
          <w:rFonts w:ascii="Times New Roman" w:hAnsi="Times New Roman" w:cs="Times New Roman"/>
          <w:sz w:val="20"/>
          <w:szCs w:val="20"/>
        </w:rPr>
        <w:t xml:space="preserve"> настоящих Методических указаний, за исключением расходов на реагенты и электрическую энергию (мощность, тепловую энергию и другие виды энергетических ресурсов);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ремонтные расходы, определенные в соответствии с </w:t>
      </w:r>
      <w:hyperlink w:anchor="Par167" w:history="1">
        <w:r>
          <w:rPr>
            <w:rFonts w:ascii="Times New Roman" w:hAnsi="Times New Roman" w:cs="Times New Roman"/>
            <w:color w:val="0000FF"/>
            <w:sz w:val="20"/>
            <w:szCs w:val="20"/>
          </w:rPr>
          <w:t>пунктами 23</w:t>
        </w:r>
      </w:hyperlink>
      <w:r>
        <w:rPr>
          <w:rFonts w:ascii="Times New Roman" w:hAnsi="Times New Roman" w:cs="Times New Roman"/>
          <w:sz w:val="20"/>
          <w:szCs w:val="20"/>
        </w:rPr>
        <w:t xml:space="preserve"> - </w:t>
      </w:r>
      <w:hyperlink w:anchor="Par172" w:history="1">
        <w:r>
          <w:rPr>
            <w:rFonts w:ascii="Times New Roman" w:hAnsi="Times New Roman" w:cs="Times New Roman"/>
            <w:color w:val="0000FF"/>
            <w:sz w:val="20"/>
            <w:szCs w:val="20"/>
          </w:rPr>
          <w:t>24</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административные расходы, определенные в соответствии с </w:t>
      </w:r>
      <w:hyperlink w:anchor="Par174" w:history="1">
        <w:r>
          <w:rPr>
            <w:rFonts w:ascii="Times New Roman" w:hAnsi="Times New Roman" w:cs="Times New Roman"/>
            <w:color w:val="0000FF"/>
            <w:sz w:val="20"/>
            <w:szCs w:val="20"/>
          </w:rPr>
          <w:t>пунктом 25</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36" w:name="Par351"/>
      <w:bookmarkEnd w:id="36"/>
      <w:r>
        <w:rPr>
          <w:rFonts w:ascii="Times New Roman" w:hAnsi="Times New Roman" w:cs="Times New Roman"/>
          <w:sz w:val="20"/>
          <w:szCs w:val="20"/>
        </w:rPr>
        <w:t>4) сбытовые расходы.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37" w:name="Par352"/>
      <w:bookmarkEnd w:id="37"/>
      <w:r>
        <w:rPr>
          <w:rFonts w:ascii="Times New Roman" w:hAnsi="Times New Roman" w:cs="Times New Roman"/>
          <w:sz w:val="20"/>
          <w:szCs w:val="20"/>
        </w:rPr>
        <w:lastRenderedPageBreak/>
        <w:t xml:space="preserve">45. Операционные расходы на первый год долгосрочного периода регулирования (далее - базовый уровень операционных расходов) рассчитываются с применением метода экономически обоснованных расходов (затрат) в соответствии с </w:t>
      </w:r>
      <w:hyperlink w:anchor="Par135" w:history="1">
        <w:r>
          <w:rPr>
            <w:rFonts w:ascii="Times New Roman" w:hAnsi="Times New Roman" w:cs="Times New Roman"/>
            <w:color w:val="0000FF"/>
            <w:sz w:val="20"/>
            <w:szCs w:val="20"/>
          </w:rPr>
          <w:t>пунктами 17</w:t>
        </w:r>
      </w:hyperlink>
      <w:r>
        <w:rPr>
          <w:rFonts w:ascii="Times New Roman" w:hAnsi="Times New Roman" w:cs="Times New Roman"/>
          <w:sz w:val="20"/>
          <w:szCs w:val="20"/>
        </w:rPr>
        <w:t xml:space="preserve"> - </w:t>
      </w:r>
      <w:hyperlink w:anchor="Par186" w:history="1">
        <w:r>
          <w:rPr>
            <w:rFonts w:ascii="Times New Roman" w:hAnsi="Times New Roman" w:cs="Times New Roman"/>
            <w:color w:val="0000FF"/>
            <w:sz w:val="20"/>
            <w:szCs w:val="20"/>
          </w:rPr>
          <w:t>26</w:t>
        </w:r>
      </w:hyperlink>
      <w:r>
        <w:rPr>
          <w:rFonts w:ascii="Times New Roman" w:hAnsi="Times New Roman" w:cs="Times New Roman"/>
          <w:sz w:val="20"/>
          <w:szCs w:val="20"/>
        </w:rPr>
        <w:t xml:space="preserve"> настоящих Методических указаний (за исключением расходов на электрическую энергию (мощность, тепловую энергию и другие виды энергетических ресурсов)). Операционные расходы на второй и последующие годы долгосрочного периода регулирования рассчитываются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38" w:name="Par354"/>
      <w:bookmarkEnd w:id="38"/>
      <w:r>
        <w:rPr>
          <w:rFonts w:ascii="Times New Roman" w:hAnsi="Times New Roman" w:cs="Times New Roman"/>
          <w:sz w:val="20"/>
          <w:szCs w:val="20"/>
        </w:rPr>
        <w:t>ОР</w:t>
      </w:r>
      <w:r>
        <w:rPr>
          <w:rFonts w:ascii="Times New Roman" w:hAnsi="Times New Roman" w:cs="Times New Roman"/>
          <w:sz w:val="20"/>
          <w:szCs w:val="20"/>
          <w:vertAlign w:val="subscript"/>
        </w:rPr>
        <w:t>i</w:t>
      </w:r>
      <w:r>
        <w:rPr>
          <w:rFonts w:ascii="Times New Roman" w:hAnsi="Times New Roman" w:cs="Times New Roman"/>
          <w:sz w:val="20"/>
          <w:szCs w:val="20"/>
        </w:rPr>
        <w:t xml:space="preserve"> = ОР</w:t>
      </w:r>
      <w:r>
        <w:rPr>
          <w:rFonts w:ascii="Times New Roman" w:hAnsi="Times New Roman" w:cs="Times New Roman"/>
          <w:sz w:val="20"/>
          <w:szCs w:val="20"/>
          <w:vertAlign w:val="subscript"/>
        </w:rPr>
        <w:t>i-1</w:t>
      </w:r>
      <w:r>
        <w:rPr>
          <w:rFonts w:ascii="Times New Roman" w:hAnsi="Times New Roman" w:cs="Times New Roman"/>
          <w:sz w:val="20"/>
          <w:szCs w:val="20"/>
        </w:rPr>
        <w:t xml:space="preserve"> * (1 - ИЭР</w:t>
      </w:r>
      <w:r>
        <w:rPr>
          <w:rFonts w:ascii="Times New Roman" w:hAnsi="Times New Roman" w:cs="Times New Roman"/>
          <w:sz w:val="20"/>
          <w:szCs w:val="20"/>
          <w:vertAlign w:val="subscript"/>
        </w:rPr>
        <w:t>i</w:t>
      </w:r>
      <w:r>
        <w:rPr>
          <w:rFonts w:ascii="Times New Roman" w:hAnsi="Times New Roman" w:cs="Times New Roman"/>
          <w:sz w:val="20"/>
          <w:szCs w:val="20"/>
        </w:rPr>
        <w:t>) * (1 + ИПЦ</w:t>
      </w:r>
      <w:r>
        <w:rPr>
          <w:rFonts w:ascii="Times New Roman" w:hAnsi="Times New Roman" w:cs="Times New Roman"/>
          <w:sz w:val="20"/>
          <w:szCs w:val="20"/>
          <w:vertAlign w:val="subscript"/>
        </w:rPr>
        <w:t>i</w:t>
      </w:r>
      <w:r>
        <w:rPr>
          <w:rFonts w:ascii="Times New Roman" w:hAnsi="Times New Roman" w:cs="Times New Roman"/>
          <w:sz w:val="20"/>
          <w:szCs w:val="20"/>
        </w:rPr>
        <w:t>) * (1 + ИКА</w:t>
      </w:r>
      <w:r>
        <w:rPr>
          <w:rFonts w:ascii="Times New Roman" w:hAnsi="Times New Roman" w:cs="Times New Roman"/>
          <w:sz w:val="20"/>
          <w:szCs w:val="20"/>
          <w:vertAlign w:val="subscript"/>
        </w:rPr>
        <w:t>i</w:t>
      </w:r>
      <w:r>
        <w:rPr>
          <w:rFonts w:ascii="Times New Roman" w:hAnsi="Times New Roman" w:cs="Times New Roman"/>
          <w:sz w:val="20"/>
          <w:szCs w:val="20"/>
        </w:rPr>
        <w:t>), (8)</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w:t>
      </w:r>
      <w:r>
        <w:rPr>
          <w:rFonts w:ascii="Times New Roman" w:hAnsi="Times New Roman" w:cs="Times New Roman"/>
          <w:sz w:val="20"/>
          <w:szCs w:val="20"/>
          <w:vertAlign w:val="subscript"/>
        </w:rPr>
        <w:t>i-1</w:t>
      </w:r>
      <w:r>
        <w:rPr>
          <w:rFonts w:ascii="Times New Roman" w:hAnsi="Times New Roman" w:cs="Times New Roman"/>
          <w:sz w:val="20"/>
          <w:szCs w:val="20"/>
        </w:rPr>
        <w:t xml:space="preserve"> - операционные расходы в (i-1)-м году (базовый уровень),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ИЭР</w:t>
      </w:r>
      <w:r>
        <w:rPr>
          <w:rFonts w:ascii="Times New Roman" w:hAnsi="Times New Roman" w:cs="Times New Roman"/>
          <w:sz w:val="20"/>
          <w:szCs w:val="20"/>
          <w:vertAlign w:val="subscript"/>
        </w:rPr>
        <w:t>i</w:t>
      </w:r>
      <w:r>
        <w:rPr>
          <w:rFonts w:ascii="Times New Roman" w:hAnsi="Times New Roman" w:cs="Times New Roman"/>
          <w:sz w:val="20"/>
          <w:szCs w:val="20"/>
        </w:rPr>
        <w:t xml:space="preserve"> - индекс эффективности операционных расходов в i-м году, процентов;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6"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ИПЦ</w:t>
      </w:r>
      <w:r>
        <w:rPr>
          <w:rFonts w:ascii="Times New Roman" w:hAnsi="Times New Roman" w:cs="Times New Roman"/>
          <w:sz w:val="20"/>
          <w:szCs w:val="20"/>
          <w:vertAlign w:val="subscript"/>
        </w:rPr>
        <w:t>i</w:t>
      </w:r>
      <w:r>
        <w:rPr>
          <w:rFonts w:ascii="Times New Roman" w:hAnsi="Times New Roman" w:cs="Times New Roman"/>
          <w:sz w:val="20"/>
          <w:szCs w:val="20"/>
        </w:rPr>
        <w:t xml:space="preserve"> - индекс потребительских цен, определенный в базовом варианте прогноза социально-экономического развития Российской Федерации на очередной период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7"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ИКА</w:t>
      </w:r>
      <w:r>
        <w:rPr>
          <w:rFonts w:ascii="Times New Roman" w:hAnsi="Times New Roman" w:cs="Times New Roman"/>
          <w:sz w:val="20"/>
          <w:szCs w:val="20"/>
          <w:vertAlign w:val="subscript"/>
        </w:rPr>
        <w:t>i</w:t>
      </w:r>
      <w:r>
        <w:rPr>
          <w:rFonts w:ascii="Times New Roman" w:hAnsi="Times New Roman" w:cs="Times New Roman"/>
          <w:sz w:val="20"/>
          <w:szCs w:val="20"/>
        </w:rPr>
        <w:t xml:space="preserve"> - индекс изменения количества активов в i-м году.</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изменения количества активов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39" w:name="Par368"/>
      <w:bookmarkEnd w:id="39"/>
      <w:r>
        <w:rPr>
          <w:rFonts w:ascii="Times New Roman" w:hAnsi="Times New Roman" w:cs="Times New Roman"/>
          <w:noProof/>
          <w:position w:val="-23"/>
          <w:sz w:val="20"/>
          <w:szCs w:val="20"/>
          <w:lang w:eastAsia="ru-RU"/>
        </w:rPr>
        <w:drawing>
          <wp:inline distT="0" distB="0" distL="0" distR="0" wp14:anchorId="7B49AECC" wp14:editId="54C3CE9B">
            <wp:extent cx="4105275" cy="419100"/>
            <wp:effectExtent l="0" t="0" r="952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105275" cy="419100"/>
                    </a:xfrm>
                    <a:prstGeom prst="rect">
                      <a:avLst/>
                    </a:prstGeom>
                    <a:noFill/>
                    <a:ln>
                      <a:noFill/>
                    </a:ln>
                  </pic:spPr>
                </pic:pic>
              </a:graphicData>
            </a:graphic>
          </wp:inline>
        </w:drawing>
      </w:r>
      <w:r>
        <w:rPr>
          <w:rFonts w:ascii="Times New Roman" w:hAnsi="Times New Roman" w:cs="Times New Roman"/>
          <w:sz w:val="20"/>
          <w:szCs w:val="20"/>
        </w:rPr>
        <w:t>, (8.1)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6D9EBF1" wp14:editId="213D8260">
            <wp:extent cx="419100"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w:hAnsi="Times New Roman" w:cs="Times New Roman"/>
          <w:sz w:val="20"/>
          <w:szCs w:val="20"/>
        </w:rPr>
        <w:t xml:space="preserve"> - индекс изменения количества активов в году i;</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FBF603C" wp14:editId="7BDBC2F2">
            <wp:extent cx="295275" cy="228600"/>
            <wp:effectExtent l="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соответственно доля операционных расходов на транспортировку воды и сточных вод, установленная исходя из размера соответствующей доли расходов за последний отчетный год;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8D2C65C" wp14:editId="0910886C">
            <wp:extent cx="523875" cy="228600"/>
            <wp:effectExtent l="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Pr>
          <w:rFonts w:ascii="Times New Roman" w:hAnsi="Times New Roman" w:cs="Times New Roman"/>
          <w:sz w:val="20"/>
          <w:szCs w:val="20"/>
        </w:rPr>
        <w:t xml:space="preserve"> - изменение количества условных километров водопроводной (канализационной) сети, эксплуатируемых регулируемой организацией, произошедшее в году i, выраженное в процентах;</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3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A4E5845" wp14:editId="0A9D4262">
            <wp:extent cx="361950" cy="228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Pr>
          <w:rFonts w:ascii="Times New Roman" w:hAnsi="Times New Roman" w:cs="Times New Roman"/>
          <w:sz w:val="20"/>
          <w:szCs w:val="20"/>
        </w:rPr>
        <w:t xml:space="preserve"> - изменение операционных расходов на водоподготовку, очистку сточных вод, связанное с вводом в эксплуатацию нового объекта водоподготовки, очистки сточных вод в году i, тыс. руб. Такая величина определяется органом регулирования тарифов при вводе объекта в эксплуатацию и в дальнейшем не уточняется и не корректируется.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46. Индекс эффективности операционных расходов устанавливается органом регулирования тарифов для каждой регулируемой организации с целью обеспечения поэтапного достижения эффективного уровня операционных расходов организации в размере от 1 до 5 процентов в год. На первый долгосрочный период регулирования индекс эффективности операционных расходов определяется в размере от 1 до 3 процентов в год.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47. Расчет индекса эффективности операционных расходов осуществляется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71"/>
          <w:sz w:val="20"/>
          <w:szCs w:val="20"/>
          <w:lang w:eastAsia="ru-RU"/>
        </w:rPr>
        <w:drawing>
          <wp:inline distT="0" distB="0" distL="0" distR="0" wp14:anchorId="4E0871FB" wp14:editId="350995DB">
            <wp:extent cx="5400675" cy="103822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00675" cy="1038225"/>
                    </a:xfrm>
                    <a:prstGeom prst="rect">
                      <a:avLst/>
                    </a:prstGeom>
                    <a:noFill/>
                    <a:ln>
                      <a:noFill/>
                    </a:ln>
                  </pic:spPr>
                </pic:pic>
              </a:graphicData>
            </a:graphic>
          </wp:inline>
        </w:drawing>
      </w:r>
      <w:r>
        <w:rPr>
          <w:rFonts w:ascii="Times New Roman" w:hAnsi="Times New Roman" w:cs="Times New Roman"/>
          <w:sz w:val="20"/>
          <w:szCs w:val="20"/>
        </w:rPr>
        <w:t xml:space="preserve"> (9)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lastRenderedPageBreak/>
        <w:drawing>
          <wp:inline distT="0" distB="0" distL="0" distR="0" wp14:anchorId="4BC6CD12" wp14:editId="24B61591">
            <wp:extent cx="581025" cy="257175"/>
            <wp:effectExtent l="0" t="0" r="9525"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Pr>
          <w:rFonts w:ascii="Times New Roman" w:hAnsi="Times New Roman" w:cs="Times New Roman"/>
          <w:sz w:val="20"/>
          <w:szCs w:val="20"/>
        </w:rPr>
        <w:t xml:space="preserve"> - индекс эффективности операционных расходов, определяемый по результатам сравнительного анализа расходов для j-й регулируемой организации, осуществляющей деятельность по транспортировке воды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8660FF9" wp14:editId="7E7FBB6A">
            <wp:extent cx="161925" cy="257175"/>
            <wp:effectExtent l="0" t="0" r="9525" b="952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Pr>
          <w:rFonts w:ascii="Times New Roman" w:hAnsi="Times New Roman" w:cs="Times New Roman"/>
          <w:sz w:val="20"/>
          <w:szCs w:val="20"/>
        </w:rPr>
        <w:t xml:space="preserve"> - коэффициент сопоставимости, учитывающий технические характеристики централизованной системы водоснабжения и (или) водоотведения j-ой регулируемой организации (в том числе протяженность централизованной системы водоснабжения и (или) водоотведения, диаметр трубопроводов, тип прокладки трубопроводов), определяемый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по стоимости строительства централизованной системы водоснабжения и (или) водоотведения,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545CA5F" wp14:editId="61715189">
            <wp:extent cx="409575" cy="257175"/>
            <wp:effectExtent l="0" t="0" r="9525"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rFonts w:ascii="Times New Roman" w:hAnsi="Times New Roman" w:cs="Times New Roman"/>
          <w:sz w:val="20"/>
          <w:szCs w:val="20"/>
        </w:rPr>
        <w:t xml:space="preserve"> - удельные операционные расходы j-ой регулируемой организации, осуществляющей деятельность по транспортировке воды (сточных вод), тыс. руб./км;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351E95B" wp14:editId="08723A2E">
            <wp:extent cx="447675" cy="25717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rFonts w:ascii="Times New Roman" w:hAnsi="Times New Roman" w:cs="Times New Roman"/>
          <w:sz w:val="20"/>
          <w:szCs w:val="20"/>
        </w:rPr>
        <w:t xml:space="preserve"> - удельные операционные расходы, определенные как средние для сравниваемых организаций, осуществляющих деятельность по транспортировке воды (сточных вод), тыс. руб./км.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48. Расходы на обслуживание бесхозяйных сетей не учитываются при определении операционных расходов и, в частности, индекса изменения количества активов. Такие расходы учитываются в составе неподконтрольных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0" w:name="Par387"/>
      <w:bookmarkEnd w:id="40"/>
      <w:r>
        <w:rPr>
          <w:rFonts w:ascii="Times New Roman" w:hAnsi="Times New Roman" w:cs="Times New Roman"/>
          <w:sz w:val="20"/>
          <w:szCs w:val="20"/>
        </w:rPr>
        <w:t>49. Неподконтрольные расходы включают в себя: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расходы на оплату товаров (услуг, работ), приобретаемых у других организаций, осуществляющих регулируемые виды деятельности;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расходы на уплату налогов, сборов и других обязательных платежей, в том числе обязательного страхования, предусмотренных законодательными актами Российской Федерации, включая плату за негативное воздействие на окружающую среду, в пределах, установленных для регулируемой организации нормативов и (или) лимитов;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1" w:name="Par390"/>
      <w:bookmarkEnd w:id="41"/>
      <w:r>
        <w:rPr>
          <w:rFonts w:ascii="Times New Roman" w:hAnsi="Times New Roman" w:cs="Times New Roman"/>
          <w:sz w:val="20"/>
          <w:szCs w:val="20"/>
        </w:rPr>
        <w:t xml:space="preserve">3) расходы на арендную плату и лизинговые платежи, размер которых определяется с учетом требований, предусмотренных </w:t>
      </w:r>
      <w:hyperlink w:anchor="Par213" w:history="1">
        <w:r>
          <w:rPr>
            <w:rFonts w:ascii="Times New Roman" w:hAnsi="Times New Roman" w:cs="Times New Roman"/>
            <w:color w:val="0000FF"/>
            <w:sz w:val="20"/>
            <w:szCs w:val="20"/>
          </w:rPr>
          <w:t>пунктом 29</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4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30.06.2017 N 868/17)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расходы по сомнительным долгам для гарантирующей организации в размере не более 2 процентов от необходимой валовой выручки, относимой на население (абонентов, предоставляющих коммунальные услуги в сфере водоснабжения и водоотведения населению) за предыдущий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2" w:name="Par393"/>
      <w:bookmarkEnd w:id="42"/>
      <w:r>
        <w:rPr>
          <w:rFonts w:ascii="Times New Roman" w:hAnsi="Times New Roman" w:cs="Times New Roman"/>
          <w:sz w:val="20"/>
          <w:szCs w:val="20"/>
        </w:rPr>
        <w:t xml:space="preserve">5) экономию средств, достигнутую в результате снижения расходов предыдущего долгосрочного периода регулирования и рассчитанную в соответствии с </w:t>
      </w:r>
      <w:hyperlink w:anchor="Par427" w:history="1">
        <w:r>
          <w:rPr>
            <w:rFonts w:ascii="Times New Roman" w:hAnsi="Times New Roman" w:cs="Times New Roman"/>
            <w:color w:val="0000FF"/>
            <w:sz w:val="20"/>
            <w:szCs w:val="20"/>
          </w:rPr>
          <w:t>пунктами 53</w:t>
        </w:r>
      </w:hyperlink>
      <w:r>
        <w:rPr>
          <w:rFonts w:ascii="Times New Roman" w:hAnsi="Times New Roman" w:cs="Times New Roman"/>
          <w:sz w:val="20"/>
          <w:szCs w:val="20"/>
        </w:rPr>
        <w:t xml:space="preserve"> - </w:t>
      </w:r>
      <w:hyperlink w:anchor="Par493" w:history="1">
        <w:r>
          <w:rPr>
            <w:rFonts w:ascii="Times New Roman" w:hAnsi="Times New Roman" w:cs="Times New Roman"/>
            <w:color w:val="0000FF"/>
            <w:sz w:val="20"/>
            <w:szCs w:val="20"/>
          </w:rPr>
          <w:t>60</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расходы на обслуживание бесхозяйных сетей, эксплуатируемых регулируемой организацией в размере, определенном органом регулирования тарифов исходя из стоимости мероприятий по реконструкции и модернизации, текущему и капитальному ремонту таких сетей;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3" w:name="Par395"/>
      <w:bookmarkEnd w:id="43"/>
      <w:r>
        <w:rPr>
          <w:rFonts w:ascii="Times New Roman" w:hAnsi="Times New Roman" w:cs="Times New Roman"/>
          <w:sz w:val="20"/>
          <w:szCs w:val="20"/>
        </w:rPr>
        <w:t>7) расходы на компенсацию экономически обоснованных расходов, не учтенных органом регулирования тарифов при установлении тарифов в прошлые периоды регулирования, и (или) недополученных доходов;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расходы на концессионную плату;</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8 введен </w:t>
      </w:r>
      <w:hyperlink r:id="rId141"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30.06.2017 N 868/17)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в составе объекта концессионного соглашения и (или) в составе иного передаваемого концедентом концессионеру по концессионному </w:t>
      </w:r>
      <w:r>
        <w:rPr>
          <w:rFonts w:ascii="Times New Roman" w:hAnsi="Times New Roman" w:cs="Times New Roman"/>
          <w:sz w:val="20"/>
          <w:szCs w:val="20"/>
        </w:rPr>
        <w:lastRenderedPageBreak/>
        <w:t>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9 введен </w:t>
      </w:r>
      <w:hyperlink r:id="rId142"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30.06.2017 N 868/17)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4" w:name="Par400"/>
      <w:bookmarkEnd w:id="44"/>
      <w:r>
        <w:rPr>
          <w:rFonts w:ascii="Times New Roman" w:hAnsi="Times New Roman" w:cs="Times New Roman"/>
          <w:sz w:val="20"/>
          <w:szCs w:val="20"/>
        </w:rPr>
        <w:t>10) расходы на реагенты.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10 введен </w:t>
      </w:r>
      <w:hyperlink r:id="rId143"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составе расходов на уплату налогов, сборов и других обязательных платежей, включаемых в неподконтрольные расходы, не учитываются налоги и сборы с фонда оплаты труда, учитываемые в составе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если регулируемая организация самостоятельно осуществляет производство (поставку) тепловой энергии и теплоносителя, расходы на тепловую энергию и теплоноситель определяются исходя из себестоимости производства регулируемой организацией тепловой энергии и теплоносителя в соответствии с </w:t>
      </w:r>
      <w:hyperlink w:anchor="Par111" w:history="1">
        <w:r>
          <w:rPr>
            <w:rFonts w:ascii="Times New Roman" w:hAnsi="Times New Roman" w:cs="Times New Roman"/>
            <w:color w:val="0000FF"/>
            <w:sz w:val="20"/>
            <w:szCs w:val="20"/>
          </w:rPr>
          <w:t>пунктами 15</w:t>
        </w:r>
      </w:hyperlink>
      <w:r>
        <w:rPr>
          <w:rFonts w:ascii="Times New Roman" w:hAnsi="Times New Roman" w:cs="Times New Roman"/>
          <w:sz w:val="20"/>
          <w:szCs w:val="20"/>
        </w:rPr>
        <w:t xml:space="preserve"> - </w:t>
      </w:r>
      <w:hyperlink w:anchor="Par240" w:history="1">
        <w:r>
          <w:rPr>
            <w:rFonts w:ascii="Times New Roman" w:hAnsi="Times New Roman" w:cs="Times New Roman"/>
            <w:color w:val="0000FF"/>
            <w:sz w:val="20"/>
            <w:szCs w:val="20"/>
          </w:rPr>
          <w:t>33</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50. Расходы на приобретение воды включают в себя расходы на приобретение питьевой воды, технической воды по тарифам на питьевую воду (питьевое водоснабжение), техническую воду у других регулируемых организаций, в частности, осуществляющих подъем воды и водоподготовку, а также расходы на оплату потерь воды при транспортировке (для регулируемых организаций, в отношении которых устанавливаются тарифы на транспортировку воды), рассчитываемые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12E9C54" wp14:editId="142FFD0A">
            <wp:extent cx="809625" cy="257175"/>
            <wp:effectExtent l="0" t="0" r="9525" b="952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r>
        <w:rPr>
          <w:rFonts w:ascii="Times New Roman" w:hAnsi="Times New Roman" w:cs="Times New Roman"/>
          <w:sz w:val="20"/>
          <w:szCs w:val="20"/>
        </w:rPr>
        <w:t>, (10)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00B16CB" wp14:editId="14761907">
            <wp:extent cx="190500" cy="228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расходы на оплату потерь воды,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1AAECA0" wp14:editId="654469C0">
            <wp:extent cx="219075" cy="2571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rFonts w:ascii="Times New Roman" w:hAnsi="Times New Roman" w:cs="Times New Roman"/>
          <w:sz w:val="20"/>
          <w:szCs w:val="20"/>
        </w:rPr>
        <w:t xml:space="preserve"> - плановый объем потерь воды при транспортировке в году i, тыс.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T - тариф на питьевую или техническую воду,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5" w:name="Par412"/>
      <w:bookmarkEnd w:id="45"/>
      <w:r>
        <w:rPr>
          <w:rFonts w:ascii="Times New Roman" w:hAnsi="Times New Roman" w:cs="Times New Roman"/>
          <w:sz w:val="20"/>
          <w:szCs w:val="20"/>
        </w:rPr>
        <w:t>51. Расходы на арендную плату, концессионную плату и лизинговые платежи относятся к неподконтрольным, если договор аренды (лизинга, концессии) заключен в отношении централизованных систем водоснабжения или водоотведения, объектов и оборудования, используемых в этих системах, а также в случае аренды земельных участков, на которых расположены или осуществляется строительство объектов централизованных систем водоснабжения и водоотведения в сроки, определенные инвестиционной программой. В остальных случаях расходы на арендную плату, концессионную плату и лизинговые платежи включаются в состав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52. В целях определения расходов по сомнительным долгам гарантирующая организация обязана осуществлять расчет объема питьевой воды, подаваемой населению на основании договоров водоснабжения, единых договоров холодного водоснабжения и водоотведения, информации об объемах отпуска воды, определенных по показаниям приборов учета воды, утвержденных нормативов потребления коммунальных услуг, а также выставленных регулируемой организацией счетов на оплату воды, оказанных услуг. Объем необходимой валовой выручки, относящейся к населению, определяется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5"/>
          <w:sz w:val="20"/>
          <w:szCs w:val="20"/>
          <w:lang w:eastAsia="ru-RU"/>
        </w:rPr>
        <w:drawing>
          <wp:inline distT="0" distB="0" distL="0" distR="0" wp14:anchorId="0C99CA5D" wp14:editId="02F4FC93">
            <wp:extent cx="1609725" cy="44767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609725" cy="447675"/>
                    </a:xfrm>
                    <a:prstGeom prst="rect">
                      <a:avLst/>
                    </a:prstGeom>
                    <a:noFill/>
                    <a:ln>
                      <a:noFill/>
                    </a:ln>
                  </pic:spPr>
                </pic:pic>
              </a:graphicData>
            </a:graphic>
          </wp:inline>
        </w:drawing>
      </w:r>
      <w:r>
        <w:rPr>
          <w:rFonts w:ascii="Times New Roman" w:hAnsi="Times New Roman" w:cs="Times New Roman"/>
          <w:sz w:val="20"/>
          <w:szCs w:val="20"/>
        </w:rPr>
        <w:t>, (11)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B8A3C04" wp14:editId="512D2A2A">
            <wp:extent cx="542925" cy="228600"/>
            <wp:effectExtent l="0" t="0" r="952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относящаяся к населению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lastRenderedPageBreak/>
        <w:drawing>
          <wp:inline distT="0" distB="0" distL="0" distR="0" wp14:anchorId="4CB76D62" wp14:editId="33EC14E1">
            <wp:extent cx="457200" cy="2286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относящаяся к питьевому водоснабжению или водоотведению соответственно в году i-2,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2E9D222" wp14:editId="5F2F2663">
            <wp:extent cx="295275" cy="228600"/>
            <wp:effectExtent l="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объем воды, отпускаемый населению и приравненным к нему абонентам (сточных вод, принимаемых у населения и приравненных к нему абонентам), тыс.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Q - объем воды, отпускаемый всем абонентам (сточных вод, принимаемых у всех абонентов), тыс. куб. 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r>
        <w:rPr>
          <w:rFonts w:ascii="Times New Roman" w:hAnsi="Times New Roman" w:cs="Times New Roman"/>
          <w:b/>
          <w:bCs/>
          <w:sz w:val="20"/>
          <w:szCs w:val="20"/>
        </w:rPr>
        <w:t>VI.II. Расчет экономии средств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п. 53 вносятся изменения (</w:t>
            </w:r>
            <w:hyperlink r:id="rId151"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bookmarkStart w:id="46" w:name="Par427"/>
      <w:bookmarkEnd w:id="46"/>
      <w:r>
        <w:rPr>
          <w:rFonts w:ascii="Times New Roman" w:hAnsi="Times New Roman" w:cs="Times New Roman"/>
          <w:sz w:val="20"/>
          <w:szCs w:val="20"/>
        </w:rPr>
        <w:t>53. Экономия средств, достигнутая регулируемой организацией в результате снижения расходов в предыдущий долгосрочный период регулирования, в том числе связанная с сокращением потерь воды при транспортировке, имеет место, если фактический объем операционных расходов и (или) расходов на приобретение энергетических ресурсов, холодной воды регулируемой организации меньше величины таких расходов, установленных на долгосрочный период регулирования, и регулируемая организация исполняет обязательства, предусмотренные производственной программой в полном объеме.</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п. 54 вносятся изменения (</w:t>
            </w:r>
            <w:hyperlink r:id="rId152"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54. Экономия средств, достигнутая регулируемой организацией в результате снижения расходов в каждом году долгосрочного периода регулирования, учитывается в составе необходимой валовой выручки в течение последующих 5 лет. В случае если часть из этих 5 лет приходится на следующий долгосрочный период регулирования, экономия расходов учитывается в необходимой валовой выручке регулируемой организации, устанавливаемой на следующий долгосрочный период регулирования, в составе неподконтрольных расходов в порядке, определенном в соответствии с </w:t>
      </w:r>
      <w:hyperlink w:anchor="Par387" w:history="1">
        <w:r>
          <w:rPr>
            <w:rFonts w:ascii="Times New Roman" w:hAnsi="Times New Roman" w:cs="Times New Roman"/>
            <w:color w:val="0000FF"/>
            <w:sz w:val="20"/>
            <w:szCs w:val="20"/>
          </w:rPr>
          <w:t>пунктом 49</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55. При расчете тарифов на очередной долгосрочный период регулирования учитывается экономия средств от снижения потребления энергетических ресурсов, холодной воды, в том числе связанная с сокращением потерь воды при транспортировке, при условии что затраты на проведение мероприятий по его снижению не финансировались и не будут финансироваться за счет бюджетных средств.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Экономия средств, достигнутая в результате снижения операционных расходов, и экономия от снижения потребления энергетических ресурсов, холодной воды, сокращения потерь воды при транспортировке рассчитывается в соответствии с </w:t>
      </w:r>
      <w:hyperlink w:anchor="Par8421" w:history="1">
        <w:r>
          <w:rPr>
            <w:rFonts w:ascii="Times New Roman" w:hAnsi="Times New Roman" w:cs="Times New Roman"/>
            <w:color w:val="0000FF"/>
            <w:sz w:val="20"/>
            <w:szCs w:val="20"/>
          </w:rPr>
          <w:t>Приложением 6.6</w:t>
        </w:r>
      </w:hyperlink>
      <w:r>
        <w:rPr>
          <w:rFonts w:ascii="Times New Roman" w:hAnsi="Times New Roman" w:cs="Times New Roman"/>
          <w:sz w:val="20"/>
          <w:szCs w:val="20"/>
        </w:rPr>
        <w:t xml:space="preserve">, </w:t>
      </w:r>
      <w:hyperlink w:anchor="Par8533" w:history="1">
        <w:r>
          <w:rPr>
            <w:rFonts w:ascii="Times New Roman" w:hAnsi="Times New Roman" w:cs="Times New Roman"/>
            <w:color w:val="0000FF"/>
            <w:sz w:val="20"/>
            <w:szCs w:val="20"/>
          </w:rPr>
          <w:t>6.7</w:t>
        </w:r>
      </w:hyperlink>
      <w:r>
        <w:rPr>
          <w:rFonts w:ascii="Times New Roman" w:hAnsi="Times New Roman" w:cs="Times New Roman"/>
          <w:sz w:val="20"/>
          <w:szCs w:val="20"/>
        </w:rPr>
        <w:t xml:space="preserve">, </w:t>
      </w:r>
      <w:hyperlink w:anchor="Par8653" w:history="1">
        <w:r>
          <w:rPr>
            <w:rFonts w:ascii="Times New Roman" w:hAnsi="Times New Roman" w:cs="Times New Roman"/>
            <w:color w:val="0000FF"/>
            <w:sz w:val="20"/>
            <w:szCs w:val="20"/>
          </w:rPr>
          <w:t>6.8</w:t>
        </w:r>
      </w:hyperlink>
      <w:r>
        <w:rPr>
          <w:rFonts w:ascii="Times New Roman" w:hAnsi="Times New Roman" w:cs="Times New Roman"/>
          <w:sz w:val="20"/>
          <w:szCs w:val="20"/>
        </w:rPr>
        <w:t xml:space="preserve"> к настоящим Методическим указаниям.</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п. 55 дополняется абз. 3 (</w:t>
            </w:r>
            <w:hyperlink r:id="rId153"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абз. 1 п. 56 вносятся изменения (</w:t>
            </w:r>
            <w:hyperlink r:id="rId154"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bookmarkStart w:id="47" w:name="Par437"/>
      <w:bookmarkEnd w:id="47"/>
      <w:r>
        <w:rPr>
          <w:rFonts w:ascii="Times New Roman" w:hAnsi="Times New Roman" w:cs="Times New Roman"/>
          <w:sz w:val="20"/>
          <w:szCs w:val="20"/>
        </w:rPr>
        <w:t>56. Экономия средств, достигнутая в результате снижения расходов предыдущего долгосрочного периода регулирования, включается в неподконтрольные расходы и учитывается в составе необходимой валовой выручки в течение очередного долгосрочного периода регулирования, в размере, определенном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48" w:name="Par439"/>
      <w:bookmarkEnd w:id="48"/>
      <w:r>
        <w:rPr>
          <w:rFonts w:ascii="Times New Roman" w:hAnsi="Times New Roman" w:cs="Times New Roman"/>
          <w:noProof/>
          <w:position w:val="-25"/>
          <w:sz w:val="20"/>
          <w:szCs w:val="20"/>
          <w:lang w:eastAsia="ru-RU"/>
        </w:rPr>
        <w:drawing>
          <wp:inline distT="0" distB="0" distL="0" distR="0" wp14:anchorId="2EE07B1C" wp14:editId="74DFB52A">
            <wp:extent cx="2286000" cy="447675"/>
            <wp:effectExtent l="0" t="0" r="0"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286000" cy="447675"/>
                    </a:xfrm>
                    <a:prstGeom prst="rect">
                      <a:avLst/>
                    </a:prstGeom>
                    <a:noFill/>
                    <a:ln>
                      <a:noFill/>
                    </a:ln>
                  </pic:spPr>
                </pic:pic>
              </a:graphicData>
            </a:graphic>
          </wp:inline>
        </w:drawing>
      </w:r>
      <w:r>
        <w:rPr>
          <w:rFonts w:ascii="Times New Roman" w:hAnsi="Times New Roman" w:cs="Times New Roman"/>
          <w:sz w:val="20"/>
          <w:szCs w:val="20"/>
        </w:rPr>
        <w:t>, (12)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ЭК - экономия расходов, включаемая в необходимую валовую выручку в течение очередного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ЭОР - экономия операционных расходов, достигнутая в предыдущем долгосрочном периоде регулирования, определенная в соответствии с </w:t>
      </w:r>
      <w:hyperlink w:anchor="Par447" w:history="1">
        <w:r>
          <w:rPr>
            <w:rFonts w:ascii="Times New Roman" w:hAnsi="Times New Roman" w:cs="Times New Roman"/>
            <w:color w:val="0000FF"/>
            <w:sz w:val="20"/>
            <w:szCs w:val="20"/>
          </w:rPr>
          <w:t>пунктом 57</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ЭП - экономия средств от снижения потребления энергетических ресурсов и холодной воды, в том числе сокращения потерь воды при транспортировке, достигнутая в предыдущем долгосрочном периоде регулирования, определенная в соответствии с </w:t>
      </w:r>
      <w:hyperlink w:anchor="Par463" w:history="1">
        <w:r>
          <w:rPr>
            <w:rFonts w:ascii="Times New Roman" w:hAnsi="Times New Roman" w:cs="Times New Roman"/>
            <w:color w:val="0000FF"/>
            <w:sz w:val="20"/>
            <w:szCs w:val="20"/>
          </w:rPr>
          <w:t>пунктом 58</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i0 - первый год очередного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535FDD9" wp14:editId="435855C2">
            <wp:extent cx="428625" cy="257175"/>
            <wp:effectExtent l="0" t="0" r="9525" b="952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значение индекса потребительских цен в j-м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49" w:name="Par447"/>
      <w:bookmarkEnd w:id="49"/>
      <w:r>
        <w:rPr>
          <w:rFonts w:ascii="Times New Roman" w:hAnsi="Times New Roman" w:cs="Times New Roman"/>
          <w:sz w:val="20"/>
          <w:szCs w:val="20"/>
        </w:rPr>
        <w:t>57. Экономия операционных расходов, учитываемая в очередном долгосрочном периоде регулирования, рассчитывается по формулам: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Для первого года очередного долгосрочного периода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55"/>
          <w:sz w:val="20"/>
          <w:szCs w:val="20"/>
          <w:lang w:eastAsia="ru-RU"/>
        </w:rPr>
        <w:drawing>
          <wp:inline distT="0" distB="0" distL="0" distR="0" wp14:anchorId="2EDECAD8" wp14:editId="3418925E">
            <wp:extent cx="5086350" cy="8382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086350" cy="838200"/>
                    </a:xfrm>
                    <a:prstGeom prst="rect">
                      <a:avLst/>
                    </a:prstGeom>
                    <a:noFill/>
                    <a:ln>
                      <a:noFill/>
                    </a:ln>
                  </pic:spPr>
                </pic:pic>
              </a:graphicData>
            </a:graphic>
          </wp:inline>
        </w:drawing>
      </w:r>
      <w:r>
        <w:rPr>
          <w:rFonts w:ascii="Times New Roman" w:hAnsi="Times New Roman" w:cs="Times New Roman"/>
          <w:sz w:val="20"/>
          <w:szCs w:val="20"/>
        </w:rPr>
        <w:t>, (13)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Для второго и последующих годов очередного долгосрочного периода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2"/>
          <w:sz w:val="20"/>
          <w:szCs w:val="20"/>
          <w:lang w:eastAsia="ru-RU"/>
        </w:rPr>
        <w:drawing>
          <wp:inline distT="0" distB="0" distL="0" distR="0" wp14:anchorId="2DB3E815" wp14:editId="69DB2F7D">
            <wp:extent cx="1914525" cy="409575"/>
            <wp:effectExtent l="0" t="0" r="0"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14525" cy="409575"/>
                    </a:xfrm>
                    <a:prstGeom prst="rect">
                      <a:avLst/>
                    </a:prstGeom>
                    <a:noFill/>
                    <a:ln>
                      <a:noFill/>
                    </a:ln>
                  </pic:spPr>
                </pic:pic>
              </a:graphicData>
            </a:graphic>
          </wp:inline>
        </w:drawing>
      </w:r>
      <w:r>
        <w:rPr>
          <w:rFonts w:ascii="Times New Roman" w:hAnsi="Times New Roman" w:cs="Times New Roman"/>
          <w:sz w:val="20"/>
          <w:szCs w:val="20"/>
        </w:rPr>
        <w:t>, (13.1)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i1 - последний год текущего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ЭОР(1) - экономия операционных расходов, учитываемая в первом году очередного долгосрочного периода регулирования, тыс. руб. Рассчитывается в ценах года i1. Величина экономии принимается равной нулю, если расчет дает отрицательное значение;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ЭОР - экономия операционных расходов, учитываемая во втором и последующих годах очередного долгосрочного периода регулирования, тыс. руб. Рассчитывается в ценах года i1. Величина экономии принимается равной нулю, если расчет дает отрицательное значение;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8B9C1A7" wp14:editId="2946E515">
            <wp:extent cx="466725" cy="228600"/>
            <wp:effectExtent l="0" t="0" r="952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Pr>
          <w:rFonts w:ascii="Times New Roman" w:hAnsi="Times New Roman" w:cs="Times New Roman"/>
          <w:sz w:val="20"/>
          <w:szCs w:val="20"/>
        </w:rPr>
        <w:t xml:space="preserve"> - прирост экономии операционных расходов в i-м году по сравнению с годом i-1. В случае если продолжительность долгосрочного периода регулирования составляет 3 года значение величины </w:t>
      </w:r>
      <w:r>
        <w:rPr>
          <w:rFonts w:ascii="Times New Roman" w:hAnsi="Times New Roman" w:cs="Times New Roman"/>
          <w:noProof/>
          <w:position w:val="-8"/>
          <w:sz w:val="20"/>
          <w:szCs w:val="20"/>
          <w:lang w:eastAsia="ru-RU"/>
        </w:rPr>
        <w:drawing>
          <wp:inline distT="0" distB="0" distL="0" distR="0" wp14:anchorId="1FCF2010" wp14:editId="680DB996">
            <wp:extent cx="581025" cy="228600"/>
            <wp:effectExtent l="0" t="0" r="952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inline>
        </w:drawing>
      </w:r>
      <w:r>
        <w:rPr>
          <w:rFonts w:ascii="Times New Roman" w:hAnsi="Times New Roman" w:cs="Times New Roman"/>
          <w:sz w:val="20"/>
          <w:szCs w:val="20"/>
        </w:rPr>
        <w:t xml:space="preserve"> принимается равным нулю;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1959D09" wp14:editId="13B6518B">
            <wp:extent cx="457200" cy="2286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rFonts w:ascii="Times New Roman" w:hAnsi="Times New Roman" w:cs="Times New Roman"/>
          <w:sz w:val="20"/>
          <w:szCs w:val="20"/>
        </w:rPr>
        <w:t xml:space="preserve"> - значение индекса потребительских цен в i1 году (в среднем за год к предыдущему году), определенное на основании параметров прогноза социально-экономического развития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462EAEE" wp14:editId="71DB9775">
            <wp:extent cx="542925" cy="22860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8"/>
          <w:sz w:val="20"/>
          <w:szCs w:val="20"/>
          <w:lang w:eastAsia="ru-RU"/>
        </w:rPr>
        <w:drawing>
          <wp:inline distT="0" distB="0" distL="0" distR="0" wp14:anchorId="104E4C08" wp14:editId="26C7915F">
            <wp:extent cx="542925" cy="22860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 фактические значения индекса потребительских цен (в среднем за год к предыдущему году) в годах i1-1, i1-2 соответственно.</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50" w:name="Par463"/>
      <w:bookmarkEnd w:id="50"/>
      <w:r>
        <w:rPr>
          <w:rFonts w:ascii="Times New Roman" w:hAnsi="Times New Roman" w:cs="Times New Roman"/>
          <w:sz w:val="20"/>
          <w:szCs w:val="20"/>
        </w:rPr>
        <w:t>58. Экономия средств от снижения потребления энергетических ресурсов и холодной воды, в том числе сокращения потерь воды при транспортировке, учитываемая в очередном долгосрочном периоде регулирования, рассчитывается по формулам: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Для первого года очередного долгосрочного периода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53"/>
          <w:sz w:val="20"/>
          <w:szCs w:val="20"/>
          <w:lang w:eastAsia="ru-RU"/>
        </w:rPr>
        <w:lastRenderedPageBreak/>
        <w:drawing>
          <wp:inline distT="0" distB="0" distL="0" distR="0" wp14:anchorId="5120A168" wp14:editId="6BDCFFF3">
            <wp:extent cx="6210300" cy="8001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210300" cy="800100"/>
                    </a:xfrm>
                    <a:prstGeom prst="rect">
                      <a:avLst/>
                    </a:prstGeom>
                    <a:noFill/>
                    <a:ln>
                      <a:noFill/>
                    </a:ln>
                  </pic:spPr>
                </pic:pic>
              </a:graphicData>
            </a:graphic>
          </wp:inline>
        </w:drawing>
      </w:r>
      <w:r>
        <w:rPr>
          <w:rFonts w:ascii="Times New Roman" w:hAnsi="Times New Roman" w:cs="Times New Roman"/>
          <w:sz w:val="20"/>
          <w:szCs w:val="20"/>
        </w:rPr>
        <w:t>, (14)</w:t>
      </w: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Для второго и последующих годов очередного долгосрочного периода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2"/>
          <w:sz w:val="20"/>
          <w:szCs w:val="20"/>
          <w:lang w:eastAsia="ru-RU"/>
        </w:rPr>
        <w:drawing>
          <wp:inline distT="0" distB="0" distL="0" distR="0" wp14:anchorId="18540012" wp14:editId="69937081">
            <wp:extent cx="1666875" cy="40957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66875" cy="409575"/>
                    </a:xfrm>
                    <a:prstGeom prst="rect">
                      <a:avLst/>
                    </a:prstGeom>
                    <a:noFill/>
                    <a:ln>
                      <a:noFill/>
                    </a:ln>
                  </pic:spPr>
                </pic:pic>
              </a:graphicData>
            </a:graphic>
          </wp:inline>
        </w:drawing>
      </w:r>
      <w:r>
        <w:rPr>
          <w:rFonts w:ascii="Times New Roman" w:hAnsi="Times New Roman" w:cs="Times New Roman"/>
          <w:sz w:val="20"/>
          <w:szCs w:val="20"/>
        </w:rPr>
        <w:t>, (14.1)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i1 - последний год текущего долгосрочного периода регулирования, за который имеются фактические данные;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ЭП(1) - экономия расходов от снижения потребления энергетических ресурсов и холодной воды, в том числе сокращения потерь воды при транспортировке, учитываемая в первом году очередного долгосрочного периода регулирования, рассчитанная в ценах года i1, тыс. руб. Величина экономии принимается равной нулю, если расчет дает отрицательное значение;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ЭП - экономия расходов от снижения потребления энергетических ресурсов и холодной воды, в том числе сокращения потерь воды при транспортировке, учитываемая во втором и последующих годах очередного долгосрочного периода регулирования, рассчитанная в ценах года i1, тыс. руб. Величина экономии принимается равной нулю, если расчет дает отрицательное значение;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84FE705" wp14:editId="0C5E82B6">
            <wp:extent cx="409575" cy="228600"/>
            <wp:effectExtent l="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прирост экономии от снижения потребления энергетических ресурсов и холодной воды, в том числе сокращения потерь воды при транспортировке, в i-м году по сравнению с годом i-1, определяемый в соответствии с </w:t>
      </w:r>
      <w:hyperlink w:anchor="Par493" w:history="1">
        <w:r>
          <w:rPr>
            <w:rFonts w:ascii="Times New Roman" w:hAnsi="Times New Roman" w:cs="Times New Roman"/>
            <w:color w:val="0000FF"/>
            <w:sz w:val="20"/>
            <w:szCs w:val="20"/>
          </w:rPr>
          <w:t>пунктом 60</w:t>
        </w:r>
      </w:hyperlink>
      <w:r>
        <w:rPr>
          <w:rFonts w:ascii="Times New Roman" w:hAnsi="Times New Roman" w:cs="Times New Roman"/>
          <w:sz w:val="20"/>
          <w:szCs w:val="20"/>
        </w:rPr>
        <w:t xml:space="preserve"> настоящих Методических указаний, тыс. руб. В случае если продолжительность долгосрочного периода регулирования составляет 3 года, значение величины </w:t>
      </w:r>
      <w:r>
        <w:rPr>
          <w:rFonts w:ascii="Times New Roman" w:hAnsi="Times New Roman" w:cs="Times New Roman"/>
          <w:noProof/>
          <w:position w:val="-8"/>
          <w:sz w:val="20"/>
          <w:szCs w:val="20"/>
          <w:lang w:eastAsia="ru-RU"/>
        </w:rPr>
        <w:drawing>
          <wp:inline distT="0" distB="0" distL="0" distR="0" wp14:anchorId="20C93611" wp14:editId="622BFB9F">
            <wp:extent cx="476250" cy="2286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Pr>
          <w:rFonts w:ascii="Times New Roman" w:hAnsi="Times New Roman" w:cs="Times New Roman"/>
          <w:sz w:val="20"/>
          <w:szCs w:val="20"/>
        </w:rPr>
        <w:t xml:space="preserve"> принимается равным нулю;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C60ED9C" wp14:editId="3D885443">
            <wp:extent cx="457200" cy="2286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rFonts w:ascii="Times New Roman" w:hAnsi="Times New Roman" w:cs="Times New Roman"/>
          <w:sz w:val="20"/>
          <w:szCs w:val="20"/>
        </w:rPr>
        <w:t xml:space="preserve"> - значение индекса потребительских цен в i1 году (в среднем за год к предыдущему году), определенное на основании параметров прогноза социально-экономического развития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21558F8" wp14:editId="7802F8A2">
            <wp:extent cx="542925" cy="228600"/>
            <wp:effectExtent l="0" t="0" r="952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8"/>
          <w:sz w:val="20"/>
          <w:szCs w:val="20"/>
          <w:lang w:eastAsia="ru-RU"/>
        </w:rPr>
        <w:drawing>
          <wp:inline distT="0" distB="0" distL="0" distR="0" wp14:anchorId="25095730" wp14:editId="72629B7C">
            <wp:extent cx="542925" cy="228600"/>
            <wp:effectExtent l="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 фактические значения индекса потребительских цен (в среднем за год к предыдущему году) в годах i1-1, i1-2 соответственно.</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Прирост экономии от снижения потребления энергетических ресурсов и воды в последний год долгосрочного периода регулирования учитывается в объеме, прогнозируемом регулирующим органом с учетом данных, предоставленных регулируемой организацией.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59. Прирост экономии операционных расходов за прошедший год рассчитывается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lastRenderedPageBreak/>
        <w:drawing>
          <wp:inline distT="0" distB="0" distL="0" distR="0" wp14:anchorId="4BF3D616" wp14:editId="6468F583">
            <wp:extent cx="5972175" cy="257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72175" cy="257175"/>
                    </a:xfrm>
                    <a:prstGeom prst="rect">
                      <a:avLst/>
                    </a:prstGeom>
                    <a:noFill/>
                    <a:ln>
                      <a:noFill/>
                    </a:ln>
                  </pic:spPr>
                </pic:pic>
              </a:graphicData>
            </a:graphic>
          </wp:inline>
        </w:drawing>
      </w:r>
      <w:r>
        <w:rPr>
          <w:rFonts w:ascii="Times New Roman" w:hAnsi="Times New Roman" w:cs="Times New Roman"/>
          <w:sz w:val="20"/>
          <w:szCs w:val="20"/>
        </w:rPr>
        <w:t>, (15)</w:t>
      </w: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99F9588" wp14:editId="6A384E4E">
            <wp:extent cx="1371600" cy="257175"/>
            <wp:effectExtent l="0" t="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371600" cy="257175"/>
                    </a:xfrm>
                    <a:prstGeom prst="rect">
                      <a:avLst/>
                    </a:prstGeom>
                    <a:noFill/>
                    <a:ln>
                      <a:noFill/>
                    </a:ln>
                  </pic:spPr>
                </pic:pic>
              </a:graphicData>
            </a:graphic>
          </wp:inline>
        </w:drawing>
      </w:r>
      <w:r>
        <w:rPr>
          <w:rFonts w:ascii="Times New Roman" w:hAnsi="Times New Roman" w:cs="Times New Roman"/>
          <w:sz w:val="20"/>
          <w:szCs w:val="20"/>
        </w:rPr>
        <w:t>, (15.1)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i0 - первый год текущего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D21069E" wp14:editId="47078DAD">
            <wp:extent cx="466725" cy="228600"/>
            <wp:effectExtent l="0" t="0" r="952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Pr>
          <w:rFonts w:ascii="Times New Roman" w:hAnsi="Times New Roman" w:cs="Times New Roman"/>
          <w:sz w:val="20"/>
          <w:szCs w:val="20"/>
        </w:rPr>
        <w:t xml:space="preserve"> - прирост экономии операционных расходов в i-м году, тыс. руб. Прирост экономии операционных расходов отдельного года может принимать как положительные, так и отрицательные значения;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7D2FB1F" wp14:editId="43F87C80">
            <wp:extent cx="266700" cy="2286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Pr>
          <w:rFonts w:ascii="Times New Roman" w:hAnsi="Times New Roman" w:cs="Times New Roman"/>
          <w:sz w:val="20"/>
          <w:szCs w:val="20"/>
        </w:rPr>
        <w:t xml:space="preserve"> - операционные расходы в i-м году, определяемые в соответствии с </w:t>
      </w:r>
      <w:hyperlink w:anchor="Par354" w:history="1">
        <w:r>
          <w:rPr>
            <w:rFonts w:ascii="Times New Roman" w:hAnsi="Times New Roman" w:cs="Times New Roman"/>
            <w:color w:val="0000FF"/>
            <w:sz w:val="20"/>
            <w:szCs w:val="20"/>
          </w:rPr>
          <w:t>формулой 8</w:t>
        </w:r>
      </w:hyperlink>
      <w:r>
        <w:rPr>
          <w:rFonts w:ascii="Times New Roman" w:hAnsi="Times New Roman" w:cs="Times New Roman"/>
          <w:sz w:val="20"/>
          <w:szCs w:val="20"/>
        </w:rPr>
        <w:t xml:space="preserve"> настоящих Методических указаний с применением уточненных значений индекса потребительских цен и индекса изменения количества активов,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ECD02BB" wp14:editId="09EE9DAC">
            <wp:extent cx="304800" cy="2571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фактические операционные расходы в i году, тыс. руб. Фактические операционные расходы, учитываемые при расчете экономии операционных расходов, не могут превышать уровня, установленного на данный год органами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2238BE1" wp14:editId="48B9F9A6">
            <wp:extent cx="333375" cy="228600"/>
            <wp:effectExtent l="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Pr>
          <w:rFonts w:ascii="Times New Roman" w:hAnsi="Times New Roman" w:cs="Times New Roman"/>
          <w:sz w:val="20"/>
          <w:szCs w:val="20"/>
        </w:rPr>
        <w:t xml:space="preserve"> - базовый уровень операционных расходов, установленный на долгосрочный период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1AB3703" wp14:editId="406A4289">
            <wp:extent cx="542925" cy="228600"/>
            <wp:effectExtent l="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8"/>
          <w:sz w:val="20"/>
          <w:szCs w:val="20"/>
          <w:lang w:eastAsia="ru-RU"/>
        </w:rPr>
        <w:drawing>
          <wp:inline distT="0" distB="0" distL="0" distR="0" wp14:anchorId="47875072" wp14:editId="2D25F49D">
            <wp:extent cx="428625" cy="228600"/>
            <wp:effectExtent l="0" t="0" r="952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Pr>
          <w:rFonts w:ascii="Times New Roman" w:hAnsi="Times New Roman" w:cs="Times New Roman"/>
          <w:sz w:val="20"/>
          <w:szCs w:val="20"/>
        </w:rPr>
        <w:t xml:space="preserve"> - фактическое значение индекса потребительских цен (в среднем за год к предыдущему году) в (i0+1)-м, ..., i-м годах соответственно.</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51" w:name="Par493"/>
      <w:bookmarkEnd w:id="51"/>
      <w:r>
        <w:rPr>
          <w:rFonts w:ascii="Times New Roman" w:hAnsi="Times New Roman" w:cs="Times New Roman"/>
          <w:sz w:val="20"/>
          <w:szCs w:val="20"/>
        </w:rPr>
        <w:t>60. Прирост экономии средств от снижения потребления энергетических ресурсов и холодной воды за прошедший год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2"/>
          <w:sz w:val="20"/>
          <w:szCs w:val="20"/>
          <w:lang w:eastAsia="ru-RU"/>
        </w:rPr>
        <w:drawing>
          <wp:inline distT="0" distB="0" distL="0" distR="0" wp14:anchorId="242604A7" wp14:editId="618D376F">
            <wp:extent cx="2486025" cy="276225"/>
            <wp:effectExtent l="0" t="0" r="9525" b="952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486025" cy="276225"/>
                    </a:xfrm>
                    <a:prstGeom prst="rect">
                      <a:avLst/>
                    </a:prstGeom>
                    <a:noFill/>
                    <a:ln>
                      <a:noFill/>
                    </a:ln>
                  </pic:spPr>
                </pic:pic>
              </a:graphicData>
            </a:graphic>
          </wp:inline>
        </w:drawing>
      </w:r>
      <w:r>
        <w:rPr>
          <w:rFonts w:ascii="Times New Roman" w:hAnsi="Times New Roman" w:cs="Times New Roman"/>
          <w:sz w:val="20"/>
          <w:szCs w:val="20"/>
        </w:rPr>
        <w:t>, (16)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2"/>
          <w:sz w:val="20"/>
          <w:szCs w:val="20"/>
          <w:lang w:eastAsia="ru-RU"/>
        </w:rPr>
        <w:drawing>
          <wp:inline distT="0" distB="0" distL="0" distR="0" wp14:anchorId="01948315" wp14:editId="3975635E">
            <wp:extent cx="2428875" cy="276225"/>
            <wp:effectExtent l="0" t="0" r="9525" b="952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428875" cy="276225"/>
                    </a:xfrm>
                    <a:prstGeom prst="rect">
                      <a:avLst/>
                    </a:prstGeom>
                    <a:noFill/>
                    <a:ln>
                      <a:noFill/>
                    </a:ln>
                  </pic:spPr>
                </pic:pic>
              </a:graphicData>
            </a:graphic>
          </wp:inline>
        </w:drawing>
      </w:r>
      <w:r>
        <w:rPr>
          <w:rFonts w:ascii="Times New Roman" w:hAnsi="Times New Roman" w:cs="Times New Roman"/>
          <w:sz w:val="20"/>
          <w:szCs w:val="20"/>
        </w:rPr>
        <w:t>, (16.1)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771E377" wp14:editId="17303B21">
            <wp:extent cx="409575" cy="228600"/>
            <wp:effectExtent l="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прирост экономии от снижения потребления энергетических ресурсов в i-м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0590DDF" wp14:editId="6375F648">
            <wp:extent cx="457200" cy="2571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Pr>
          <w:rFonts w:ascii="Times New Roman" w:hAnsi="Times New Roman" w:cs="Times New Roman"/>
          <w:sz w:val="20"/>
          <w:szCs w:val="20"/>
        </w:rPr>
        <w:t xml:space="preserve"> - прирост экономии от снижения потребления z - энергетического ресурса, холодной воды в i-м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F7612EE" wp14:editId="2FC10815">
            <wp:extent cx="466725" cy="257175"/>
            <wp:effectExtent l="0" t="0" r="9525"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фактическое удельное потребление электрической энергии в году i-2 в расчете на единицу объема воды, поданного в водопроводную сеть, или объема сточных вод, принятых в канализационную сеть, тыс. кВтч/куб.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1B5FDC62" wp14:editId="47964B68">
            <wp:extent cx="466725" cy="257175"/>
            <wp:effectExtent l="0" t="0" r="9525"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фактическое удельное потребление z - энергетического ресурса, воды в году i-2 в расчете на единицу объема воды, поданного в водопроводную сеть, или объема сточных вод, принятых в канализационную сеть;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BD7AA46" wp14:editId="4BAC22EF">
            <wp:extent cx="428625" cy="257175"/>
            <wp:effectExtent l="0" t="0" r="952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удельное потребление электрической энергии в году i, установленное на соответствующий год, тыс. кВтч/куб.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25C50D0F" wp14:editId="1392B0F3">
            <wp:extent cx="361950" cy="257175"/>
            <wp:effectExtent l="0" t="0" r="0"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Pr>
          <w:rFonts w:ascii="Times New Roman" w:hAnsi="Times New Roman" w:cs="Times New Roman"/>
          <w:sz w:val="20"/>
          <w:szCs w:val="20"/>
        </w:rPr>
        <w:t xml:space="preserve"> - удельное потребление электрической энергии в году i, установленное на соответствующий год, тыс. кВтч/куб.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D9B0C1A" wp14:editId="402C39A1">
            <wp:extent cx="257175" cy="257175"/>
            <wp:effectExtent l="0" t="0" r="9525"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фактический объем воды (сточных вод), отпущенных или принятых в году i-2 в водопроводную и канализационную сеть соответственно,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lastRenderedPageBreak/>
        <w:drawing>
          <wp:inline distT="0" distB="0" distL="0" distR="0" wp14:anchorId="7BABBCD0" wp14:editId="067763EA">
            <wp:extent cx="219075" cy="257175"/>
            <wp:effectExtent l="0" t="0" r="9525"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rFonts w:ascii="Times New Roman" w:hAnsi="Times New Roman" w:cs="Times New Roman"/>
          <w:sz w:val="20"/>
          <w:szCs w:val="20"/>
        </w:rPr>
        <w:t xml:space="preserve"> - объем воды (сточных вод), отпущенных или принятых в году i в водопроводную и канализационную сеть соответственно, учтенный при установлении тарифов,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установления в отношении организации норматива потребления тепловой энергии на подогрев воды прирост экономии средств от снижения потребления тепловой энергии рассчитывается по </w:t>
      </w:r>
      <w:hyperlink w:anchor="Par439" w:history="1">
        <w:r>
          <w:rPr>
            <w:rFonts w:ascii="Times New Roman" w:hAnsi="Times New Roman" w:cs="Times New Roman"/>
            <w:color w:val="0000FF"/>
            <w:sz w:val="20"/>
            <w:szCs w:val="20"/>
          </w:rPr>
          <w:t>формуле (12)</w:t>
        </w:r>
      </w:hyperlink>
      <w:r>
        <w:rPr>
          <w:rFonts w:ascii="Times New Roman" w:hAnsi="Times New Roman" w:cs="Times New Roman"/>
          <w:sz w:val="20"/>
          <w:szCs w:val="20"/>
        </w:rPr>
        <w:t>, где вместо показателей потребления электрической энергии применяются показатели потребления тепловой энергии.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r>
        <w:rPr>
          <w:rFonts w:ascii="Times New Roman" w:hAnsi="Times New Roman" w:cs="Times New Roman"/>
          <w:b/>
          <w:bCs/>
          <w:sz w:val="20"/>
          <w:szCs w:val="20"/>
        </w:rPr>
        <w:t>VI.III. Определение размера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61. База инвестированного капитала (остаточный размер инвестированного капитала) и полная величина инвестированного капитала определяются органом регулирования тарифов на 1 января каждого года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52" w:name="Par513"/>
      <w:bookmarkEnd w:id="52"/>
      <w:r>
        <w:rPr>
          <w:rFonts w:ascii="Times New Roman" w:hAnsi="Times New Roman" w:cs="Times New Roman"/>
          <w:sz w:val="20"/>
          <w:szCs w:val="20"/>
        </w:rPr>
        <w:t>62. В случае если регулируемая организация эксплуатирует объекты централизованных систем водоснабжения и (или) водоотведения в соответствии с договором аренды или концессионным соглашением, учет первоначального размера инвестированного капитала, базы инвестированного капитала и полного размера инвестированного капитала ведется отдельно для капитала, инвестированного регулируемой организацией (в том числе в части отделимых и неотделимых улучшений имущества, предоставленного арендодателем, концедентом), и объектов, переданных арендатору (концеденту) по договору аренды или концессионному соглашению.</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Методические указания дополняются п. 62(1) (</w:t>
            </w:r>
            <w:hyperlink r:id="rId189"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bookmarkStart w:id="53" w:name="Par516"/>
      <w:bookmarkEnd w:id="53"/>
      <w:r>
        <w:rPr>
          <w:rFonts w:ascii="Times New Roman" w:hAnsi="Times New Roman" w:cs="Times New Roman"/>
          <w:sz w:val="20"/>
          <w:szCs w:val="20"/>
        </w:rPr>
        <w:t xml:space="preserve">63. При переходе к установлению тарифов регулируемой организации с применением метода доходности инвестированного капитала первоначальный размер инвестированного капитала определяется в соответствии с </w:t>
      </w:r>
      <w:hyperlink r:id="rId190"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определения размера инвестированного капитала в сфере водоснабжения и водоотведения и порядком ведения его учета, утвержденными постановлением Правительства Российской Федерации от 13.05.2013 N 406 (Собрание законодательства Российской Федерации, 2013, N 20, ст. 2500; N 32, ст. 4306) (далее - Правила определения размера инвестированного капитала в сфере водоснабжения и водоотведения и порядком ведения его учета)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54" w:name="Par518"/>
      <w:bookmarkEnd w:id="54"/>
      <w:r>
        <w:rPr>
          <w:rFonts w:ascii="Times New Roman" w:hAnsi="Times New Roman" w:cs="Times New Roman"/>
          <w:noProof/>
          <w:position w:val="-8"/>
          <w:sz w:val="20"/>
          <w:szCs w:val="20"/>
          <w:lang w:eastAsia="ru-RU"/>
        </w:rPr>
        <w:drawing>
          <wp:inline distT="0" distB="0" distL="0" distR="0" wp14:anchorId="2D40AE4C" wp14:editId="256B6C7B">
            <wp:extent cx="1295400"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95400" cy="228600"/>
                    </a:xfrm>
                    <a:prstGeom prst="rect">
                      <a:avLst/>
                    </a:prstGeom>
                    <a:noFill/>
                    <a:ln>
                      <a:noFill/>
                    </a:ln>
                  </pic:spPr>
                </pic:pic>
              </a:graphicData>
            </a:graphic>
          </wp:inline>
        </w:drawing>
      </w:r>
      <w:r>
        <w:rPr>
          <w:rFonts w:ascii="Times New Roman" w:hAnsi="Times New Roman" w:cs="Times New Roman"/>
          <w:sz w:val="20"/>
          <w:szCs w:val="20"/>
        </w:rPr>
        <w:t>, (17)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55" w:name="Par520"/>
      <w:bookmarkEnd w:id="55"/>
      <w:r>
        <w:rPr>
          <w:rFonts w:ascii="Times New Roman" w:hAnsi="Times New Roman" w:cs="Times New Roman"/>
          <w:noProof/>
          <w:position w:val="-9"/>
          <w:sz w:val="20"/>
          <w:szCs w:val="20"/>
          <w:lang w:eastAsia="ru-RU"/>
        </w:rPr>
        <w:drawing>
          <wp:inline distT="0" distB="0" distL="0" distR="0" wp14:anchorId="252D807A" wp14:editId="5DA6A155">
            <wp:extent cx="2019300" cy="25717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019300" cy="257175"/>
                    </a:xfrm>
                    <a:prstGeom prst="rect">
                      <a:avLst/>
                    </a:prstGeom>
                    <a:noFill/>
                    <a:ln>
                      <a:noFill/>
                    </a:ln>
                  </pic:spPr>
                </pic:pic>
              </a:graphicData>
            </a:graphic>
          </wp:inline>
        </w:drawing>
      </w:r>
      <w:r>
        <w:rPr>
          <w:rFonts w:ascii="Times New Roman" w:hAnsi="Times New Roman" w:cs="Times New Roman"/>
          <w:sz w:val="20"/>
          <w:szCs w:val="20"/>
        </w:rPr>
        <w:t>, (17.1)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C8831FD" wp14:editId="6FF29744">
            <wp:extent cx="1876425" cy="228600"/>
            <wp:effectExtent l="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76425" cy="228600"/>
                    </a:xfrm>
                    <a:prstGeom prst="rect">
                      <a:avLst/>
                    </a:prstGeom>
                    <a:noFill/>
                    <a:ln>
                      <a:noFill/>
                    </a:ln>
                  </pic:spPr>
                </pic:pic>
              </a:graphicData>
            </a:graphic>
          </wp:inline>
        </w:drawing>
      </w:r>
      <w:r>
        <w:rPr>
          <w:rFonts w:ascii="Times New Roman" w:hAnsi="Times New Roman" w:cs="Times New Roman"/>
          <w:sz w:val="20"/>
          <w:szCs w:val="20"/>
        </w:rPr>
        <w:t>, (17.2)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РИК - первоначальный размер инвестированного капитала (база инвестированного капитала) при переходе к регулированию тарифов методом доходности инвестированного капитала,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8A1FC2C" wp14:editId="0953F031">
            <wp:extent cx="295275" cy="228600"/>
            <wp:effectExtent l="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стоимость объектов централизованных систем водоснабжения и (или) водоотведения, учитываемая при определении размера инвестированного капитала регулируемой организации,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43230DC" wp14:editId="44895671">
            <wp:extent cx="447675" cy="2286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Pr>
          <w:rFonts w:ascii="Times New Roman" w:hAnsi="Times New Roman" w:cs="Times New Roman"/>
          <w:sz w:val="20"/>
          <w:szCs w:val="20"/>
        </w:rPr>
        <w:t xml:space="preserve"> - объем денежных средств на финансирование создания объектов централизованных систем водоснабжения и (или) водоотведения, включающий величину платы за подключение (технологическое присоединение) потребителей к системе водоснабжения и (или) водоотведения, величина выручки, полученной регулируемой организацией от применения надбавок к тарифам,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введенных в эксплуатацию объектов централизованных систем водоснабжения и (или) водоотведения, использованных регулируемой организацией за период с 31 декабря 2010 г. до 31 декабря года (включительно), предшествующего началу первого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3C603E4" wp14:editId="3E902FAC">
            <wp:extent cx="542925" cy="228600"/>
            <wp:effectExtent l="0" t="0" r="952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 остаточная стоимость объектов централизованных систем водоснабжения и (или) водоотведения, принадлежащих регулируемой организации на праве собственности или на основании </w:t>
      </w:r>
      <w:r>
        <w:rPr>
          <w:rFonts w:ascii="Times New Roman" w:hAnsi="Times New Roman" w:cs="Times New Roman"/>
          <w:sz w:val="20"/>
          <w:szCs w:val="20"/>
        </w:rPr>
        <w:lastRenderedPageBreak/>
        <w:t>концессионного соглашения, определенная по данным бухгалтерского учета по состоянию на 31 декабря 2010 г.,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C81BE43" wp14:editId="586CF5F1">
            <wp:extent cx="219075" cy="2286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rFonts w:ascii="Times New Roman" w:hAnsi="Times New Roman" w:cs="Times New Roman"/>
          <w:sz w:val="20"/>
          <w:szCs w:val="20"/>
        </w:rPr>
        <w:t xml:space="preserve"> - стоимость построенных, реконструируемых, модернизируемых и введенных в эксплуатацию объектов централизованных систем водоснабжения и (или) водоотведения и либо приобретенных объектов таких систем с 31 декабря 2010 г. до 31 декабря года (включительно),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вычетом учтенных при установлении тарифов процентов по займам и кредитам, полученным регулируемой организацией для финансирования строительства (реконструкции, модернизации) таких объектов централизованных систем водоснабжения и (или) водоотведения до их ввода в эксплуатацию),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отношении регулируемой организации-арендатора - стоимость построенных, реконструируемых, модернизируемых и введенных в эксплуатацию объектов централизованных систем водоснабжения и (или) водоотведения таких систем за счет собственных средств с начала действия договоров аренды до 31 декабря года (включительно),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вычетом учтенных при установлении тарифов процентов по займам и кредитам, полученным регулируемой организацией для финансирования строительства (реконструкции, модернизации) таких объектов централизованных систем водоснабжения и (или) водоотведения до их ввода в эксплуатацию),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7240414" wp14:editId="6BBD51D3">
            <wp:extent cx="219075" cy="2286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rFonts w:ascii="Times New Roman" w:hAnsi="Times New Roman" w:cs="Times New Roman"/>
          <w:sz w:val="20"/>
          <w:szCs w:val="20"/>
        </w:rPr>
        <w:t xml:space="preserve"> - амортизация, начисленная с 31 декабря 2010 г. до 31 декабря года (включительно), предшествующего началу первого долгосрочного периода регулирования (по данным бухгалтерского учета),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8F8EE55" wp14:editId="60DC1542">
            <wp:extent cx="314325" cy="257175"/>
            <wp:effectExtent l="0" t="0" r="9525"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Pr>
          <w:rFonts w:ascii="Times New Roman" w:hAnsi="Times New Roman" w:cs="Times New Roman"/>
          <w:sz w:val="20"/>
          <w:szCs w:val="20"/>
        </w:rPr>
        <w:t xml:space="preserve"> - стоимость объектов централизованных систем водоснабжения и (или) водоотведения, выбывших из эксплуатации и (или) проданных либо отчужденных иным образом регулируемой организацией с 31 декабря 2010 г. до 31 декабря года (включительно), предшествующего началу первого долгосрочного периода регулирования (по данным бухгалтерского учета на дату выбытия (отчуждения)),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62871C5" wp14:editId="08A188E2">
            <wp:extent cx="333375" cy="22860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платы за подключение (технологическое присоединение) потребителей к системе водоснабжения и (или) водоотведения, полученная регулируемой организацией за период с 31 декабря 2010 г. до 31 декабря года (включительно), предшествующего началу первого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80CF263" wp14:editId="63BB80DA">
            <wp:extent cx="419100" cy="228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выручки, полученной регулируемой организацией от применения надбавок к тарифам, установленных в соответствии с Федеральным </w:t>
      </w:r>
      <w:hyperlink r:id="rId20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30 декабря 2004 г. N 210-ФЗ "Об основах регулирования тарифов организаций коммунального комплекса" (Собрание законодательства Российской Федерации, 2005, N 1 (часть I), ст. 36; N 52 (часть I), ст. 5597; 2007, N 1 (часть I), ст. 21; N 43, ст. 5084; 2008, N 30 (часть II), ст. 3616; N 52 (часть I), ст. 6236; 2009, N 48, ст. 5711; N 52 (часть I), ст. 6450; 2010, N 27, ст. 3436; N 31, ст. 4160; N 31, ст. 4206; 2011, N 30 (часть I), ст. 4590; N 30 (часть I), ст. 4596; N 50, ст. 7359; 2012, N 26, ст. 3437; N 26, ст. 3446; N 53 (часть I), ст. 7614; N 53 (часть I), ст. 7616; N 53 (часть I), ст. 7643) (далее - Федеральный закон "Об основах регулирования тарифов организаций коммунального комплекса") в течение срока их действия,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B4B1093" wp14:editId="79C7A806">
            <wp:extent cx="276225" cy="22860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введенных в эксплуатацию объектов централизованных систем водоснабжения и (или) водоотведения с 31 декабря 2010 г. до 31 декабря года (включительно), предшествующего началу первого долгосрочного периода регулирования (по данным бухгалтерского учета), а также бюджетные средства, направленные на строительство, приобретение объектов, влекущих за собой возникновение права государственной или муниципальной собственности на эквивалентную часть уставных (складочных) капиталов регулируемых организаций,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56" w:name="Par536"/>
      <w:bookmarkEnd w:id="56"/>
      <w:r>
        <w:rPr>
          <w:rFonts w:ascii="Times New Roman" w:hAnsi="Times New Roman" w:cs="Times New Roman"/>
          <w:sz w:val="20"/>
          <w:szCs w:val="20"/>
        </w:rPr>
        <w:lastRenderedPageBreak/>
        <w:t xml:space="preserve">64. При переходе к установлению тарифов с применением метода доходности инвестированного капитала регулируемой организации, эксплуатирующей централизованную систему водоснабжения и (или) водоотведения или отдельные объекты такой системы на основе договора аренды, первоначальный размер инвестированного капитала регулируемой организации, который является частью первоначального размера инвестированного капитала, определенного в соответствии с </w:t>
      </w:r>
      <w:hyperlink w:anchor="Par513" w:history="1">
        <w:r>
          <w:rPr>
            <w:rFonts w:ascii="Times New Roman" w:hAnsi="Times New Roman" w:cs="Times New Roman"/>
            <w:color w:val="0000FF"/>
            <w:sz w:val="20"/>
            <w:szCs w:val="20"/>
          </w:rPr>
          <w:t>пунктом 62</w:t>
        </w:r>
      </w:hyperlink>
      <w:r>
        <w:rPr>
          <w:rFonts w:ascii="Times New Roman" w:hAnsi="Times New Roman" w:cs="Times New Roman"/>
          <w:sz w:val="20"/>
          <w:szCs w:val="20"/>
        </w:rPr>
        <w:t xml:space="preserve"> настоящих Методических указаний, определяется отдельно от первоначального размера инвестированного капитала регулируемой организации в отношении объектов централизованной системы водоснабжения и (или) водоотведения или отдельных объектов такой системы, эксплуатируемых на иных законных основаниях.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Первоначальный размер инвестированного капитала арендатора определяется равным объему капитальных вложений, направленных на модернизацию и реконструкцию объектов централизованных систем водоснабжения и (или) водоотведения, осуществленных арендатором за период действия договора аренды до перехода к применению метода доходности инвестированного капитала за счет собственных и заемных средств, за вычетом доходов, обеспечивших финансирование указанных мероприятий за счет платы за подключение (технологическое присоединение), надбавок к тарифам, установленных в соответствии с Федеральным </w:t>
      </w:r>
      <w:hyperlink r:id="rId20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основах регулирования тарифов организаций коммунального комплекса", средств бюджетов бюджетной системы Российской Федерации и средств государственных корпораций, а также за счет амортизации, начисленной на основные средства и учтенной при установлении тарифов.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Размер инвестированного капитала арендодателя определяется как разность размера инвестированного капитала, определенного в соответствии с </w:t>
      </w:r>
      <w:hyperlink w:anchor="Par516" w:history="1">
        <w:r>
          <w:rPr>
            <w:rFonts w:ascii="Times New Roman" w:hAnsi="Times New Roman" w:cs="Times New Roman"/>
            <w:color w:val="0000FF"/>
            <w:sz w:val="20"/>
            <w:szCs w:val="20"/>
          </w:rPr>
          <w:t>пунктом 63</w:t>
        </w:r>
      </w:hyperlink>
      <w:r>
        <w:rPr>
          <w:rFonts w:ascii="Times New Roman" w:hAnsi="Times New Roman" w:cs="Times New Roman"/>
          <w:sz w:val="20"/>
          <w:szCs w:val="20"/>
        </w:rPr>
        <w:t xml:space="preserve"> настоящих Методических указаний, и размера инвестированного капитала арендатора.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65. Первоначальный размер инвестированного капитала на очередной долгосрочный период регулирования определяется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период регулирования, рассчитанных в соответствии с </w:t>
      </w:r>
      <w:hyperlink w:anchor="Par518" w:history="1">
        <w:r>
          <w:rPr>
            <w:rFonts w:ascii="Times New Roman" w:hAnsi="Times New Roman" w:cs="Times New Roman"/>
            <w:color w:val="0000FF"/>
            <w:sz w:val="20"/>
            <w:szCs w:val="20"/>
          </w:rPr>
          <w:t>формулами (17)</w:t>
        </w:r>
      </w:hyperlink>
      <w:r>
        <w:rPr>
          <w:rFonts w:ascii="Times New Roman" w:hAnsi="Times New Roman" w:cs="Times New Roman"/>
          <w:sz w:val="20"/>
          <w:szCs w:val="20"/>
        </w:rPr>
        <w:t xml:space="preserve"> и </w:t>
      </w:r>
      <w:hyperlink w:anchor="Par520" w:history="1">
        <w:r>
          <w:rPr>
            <w:rFonts w:ascii="Times New Roman" w:hAnsi="Times New Roman" w:cs="Times New Roman"/>
            <w:color w:val="0000FF"/>
            <w:sz w:val="20"/>
            <w:szCs w:val="20"/>
          </w:rPr>
          <w:t>(17.1)</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если в году, предшествующем первому году долгосрочного периода регулирования, произошли изменения размера инвестированного капитала, которые не были учтены при установлении первоначального размера инвестированного капитала на первый долгосрочный период регулирования, то эти изменения учитываются при корректировке базы инвестированного капитала на второй год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66. В первоначальный размер инвестированного капитала не включается стоимость зданий, сооружений и иных объектов движимого и недвижимого имущества, в том числе стоимость легковых автомобилей, непосредственно не связанных с процессом водоснабжения и (или) водоотведения, а также стоимость объектов незавершенного строительства. &lt;1&gt;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&lt;1&gt; </w:t>
      </w:r>
      <w:hyperlink r:id="rId205" w:history="1">
        <w:r>
          <w:rPr>
            <w:rFonts w:ascii="Times New Roman" w:hAnsi="Times New Roman" w:cs="Times New Roman"/>
            <w:color w:val="0000FF"/>
            <w:sz w:val="20"/>
            <w:szCs w:val="20"/>
          </w:rPr>
          <w:t>Пункт 7</w:t>
        </w:r>
      </w:hyperlink>
      <w:r>
        <w:rPr>
          <w:rFonts w:ascii="Times New Roman" w:hAnsi="Times New Roman" w:cs="Times New Roman"/>
          <w:sz w:val="20"/>
          <w:szCs w:val="20"/>
        </w:rPr>
        <w:t xml:space="preserve"> Правил определения размера инвестированного капитала в сфере водоснабжения и водоотведения и порядка ведения его учета, утвержденных постановлением Правительства Российской Федерации от 13.05.2013 N 406.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67. Стоимость объектов централизованной системы водоснабжения и (или) водоотведения,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полный размер инвестированного капитала и базу инвестированного капитала в размере выкупной цены, установленной в договоре лизинга, но не выше стоимости таких объектов, рассчитанной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68. При первом применении метода доходности инвестированного капитала база инвестированного капитала на 1 января 1-го года долгосрочного периода регулирования определяется равной первоначальному размеру инвестированного капитала, определенному в соответствии с </w:t>
      </w:r>
      <w:hyperlink r:id="rId206"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определения размера инвестированного капитала в сфере водоснабжения и водоотведения и порядка ведения его учета. В дальнейшем база инвестированного капитала на 1 января каждого года долгосрочного периода регулирования рассчитывается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B85D919" wp14:editId="58E69C13">
            <wp:extent cx="3971925" cy="257175"/>
            <wp:effectExtent l="0" t="0" r="9525"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971925" cy="257175"/>
                    </a:xfrm>
                    <a:prstGeom prst="rect">
                      <a:avLst/>
                    </a:prstGeom>
                    <a:noFill/>
                    <a:ln>
                      <a:noFill/>
                    </a:ln>
                  </pic:spPr>
                </pic:pic>
              </a:graphicData>
            </a:graphic>
          </wp:inline>
        </w:drawing>
      </w:r>
      <w:r>
        <w:rPr>
          <w:rFonts w:ascii="Times New Roman" w:hAnsi="Times New Roman" w:cs="Times New Roman"/>
          <w:sz w:val="20"/>
          <w:szCs w:val="20"/>
        </w:rPr>
        <w:t>, (18)</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lastRenderedPageBreak/>
        <w:drawing>
          <wp:inline distT="0" distB="0" distL="0" distR="0" wp14:anchorId="21FE78D2" wp14:editId="3A6DC3B1">
            <wp:extent cx="4010025" cy="25717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010025" cy="257175"/>
                    </a:xfrm>
                    <a:prstGeom prst="rect">
                      <a:avLst/>
                    </a:prstGeom>
                    <a:noFill/>
                    <a:ln>
                      <a:noFill/>
                    </a:ln>
                  </pic:spPr>
                </pic:pic>
              </a:graphicData>
            </a:graphic>
          </wp:inline>
        </w:drawing>
      </w:r>
      <w:r>
        <w:rPr>
          <w:rFonts w:ascii="Times New Roman" w:hAnsi="Times New Roman" w:cs="Times New Roman"/>
          <w:sz w:val="20"/>
          <w:szCs w:val="20"/>
        </w:rPr>
        <w:t>, (18.1)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FF92802" wp14:editId="34808BE0">
            <wp:extent cx="390525" cy="228600"/>
            <wp:effectExtent l="0" t="0" r="952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Pr>
          <w:rFonts w:ascii="Times New Roman" w:hAnsi="Times New Roman" w:cs="Times New Roman"/>
          <w:sz w:val="20"/>
          <w:szCs w:val="20"/>
        </w:rPr>
        <w:t xml:space="preserve"> - база инвестированного капитала на начало года i - первого года первого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282DE3A" wp14:editId="31942658">
            <wp:extent cx="419100" cy="257175"/>
            <wp:effectExtent l="0" t="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rFonts w:ascii="Times New Roman" w:hAnsi="Times New Roman" w:cs="Times New Roman"/>
          <w:sz w:val="20"/>
          <w:szCs w:val="20"/>
        </w:rPr>
        <w:t xml:space="preserve"> - база инвестированного капитала арендатора (концессионера) на начало года i - первого года первого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B8FDE8E" wp14:editId="7959A63B">
            <wp:extent cx="36195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Pr>
          <w:rFonts w:ascii="Times New Roman" w:hAnsi="Times New Roman" w:cs="Times New Roman"/>
          <w:sz w:val="20"/>
          <w:szCs w:val="20"/>
        </w:rPr>
        <w:t xml:space="preserve"> - капитал, инвестированный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F4B0B8F" wp14:editId="7D075CF7">
            <wp:extent cx="428625" cy="257175"/>
            <wp:effectExtent l="0" t="0" r="9525"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стоимость объектов централизованных систем водоснабжения и (или) водоотведения, выбывших из эксплуатации и (или) проданных либо отчужденных иным образом регулируемой организацией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E865EDA" wp14:editId="23F1930F">
            <wp:extent cx="352425" cy="22860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Pr>
          <w:rFonts w:ascii="Times New Roman" w:hAnsi="Times New Roman" w:cs="Times New Roman"/>
          <w:sz w:val="20"/>
          <w:szCs w:val="20"/>
        </w:rPr>
        <w:t xml:space="preserve"> - возврат капитала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5A37354" wp14:editId="6A8C1EED">
            <wp:extent cx="542925" cy="228600"/>
            <wp:effectExtent l="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Pr>
          <w:rFonts w:ascii="Times New Roman" w:hAnsi="Times New Roman" w:cs="Times New Roman"/>
          <w:sz w:val="20"/>
          <w:szCs w:val="20"/>
        </w:rPr>
        <w:t xml:space="preserve"> - корректировка, связанная с изменением доходности долгосрочных государственных обязательств по сравнению с уровнем, учтенным при установлении регулируемых тарифов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C8B59E5" wp14:editId="290459F8">
            <wp:extent cx="361950" cy="2286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платы за подключение (технологическое присоединение), начисленная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6FC4647" wp14:editId="3720DAB3">
            <wp:extent cx="333375" cy="228600"/>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объектов централизованных систем водоснабжения и (или) водоотведения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69. Корректировка, связанная с изменением доходности долгосрочных государственных обязательств по сравнению с уровнем, учтенным при установлении регулируемых тарифов в году i-1, рассчитывается по следующей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2"/>
          <w:sz w:val="20"/>
          <w:szCs w:val="20"/>
          <w:lang w:eastAsia="ru-RU"/>
        </w:rPr>
        <w:drawing>
          <wp:inline distT="0" distB="0" distL="0" distR="0" wp14:anchorId="0272D4C1" wp14:editId="0A58ADC8">
            <wp:extent cx="2257425" cy="27622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57425" cy="276225"/>
                    </a:xfrm>
                    <a:prstGeom prst="rect">
                      <a:avLst/>
                    </a:prstGeom>
                    <a:noFill/>
                    <a:ln>
                      <a:noFill/>
                    </a:ln>
                  </pic:spPr>
                </pic:pic>
              </a:graphicData>
            </a:graphic>
          </wp:inline>
        </w:drawing>
      </w:r>
      <w:r>
        <w:rPr>
          <w:rFonts w:ascii="Times New Roman" w:hAnsi="Times New Roman" w:cs="Times New Roman"/>
          <w:sz w:val="20"/>
          <w:szCs w:val="20"/>
        </w:rPr>
        <w:t>, (19)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70F97F2" wp14:editId="7C44D18E">
            <wp:extent cx="352425" cy="228600"/>
            <wp:effectExtent l="0" t="0" r="952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Pr>
          <w:rFonts w:ascii="Times New Roman" w:hAnsi="Times New Roman" w:cs="Times New Roman"/>
          <w:sz w:val="20"/>
          <w:szCs w:val="20"/>
        </w:rPr>
        <w:t xml:space="preserve"> - доход на инвестированный капитал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7281D70" wp14:editId="58FE375D">
            <wp:extent cx="419100" cy="25717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rFonts w:ascii="Times New Roman" w:hAnsi="Times New Roman" w:cs="Times New Roman"/>
          <w:sz w:val="20"/>
          <w:szCs w:val="20"/>
        </w:rPr>
        <w:t xml:space="preserve"> - норма доходности, рассчитанная в соответствии с </w:t>
      </w:r>
      <w:hyperlink w:anchor="Par637" w:history="1">
        <w:r>
          <w:rPr>
            <w:rFonts w:ascii="Times New Roman" w:hAnsi="Times New Roman" w:cs="Times New Roman"/>
            <w:color w:val="0000FF"/>
            <w:sz w:val="20"/>
            <w:szCs w:val="20"/>
          </w:rPr>
          <w:t>разделом VI.VI</w:t>
        </w:r>
      </w:hyperlink>
      <w:r>
        <w:rPr>
          <w:rFonts w:ascii="Times New Roman" w:hAnsi="Times New Roman" w:cs="Times New Roman"/>
          <w:sz w:val="20"/>
          <w:szCs w:val="20"/>
        </w:rPr>
        <w:t xml:space="preserve"> настоящих Методических указаний с учетом фактически сложившегося уровня доходности долгосрочных государственных обязательств в году i-1.</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70. Стоимость построенных, реконструированных, модернизированных объектов централизованной системы водоснабжения и (или) водоотведения включается в базу инвестированного капитала с даты ввода соответствующих объектов в эксплуатацию в объеме, предусмотренном инвестиционной программой регулируемой организации, но не выше объема, рассчитанного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осуществленные регулируемой организацией на строительство, реконструкцию, модернизацию объектов централизованной системы водоснабжения и (или) водоотведения и направленные на ликвидацию последствий аварий, чрезвычайных ситуаций и стихийных бедствий, учитываются органом регулирования при определении базы инвестированного капитала (по данным бухгалтерского учета) в объеме, определенном органом регулирования тарифов, но не выше объема, рассчитанного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w:t>
      </w:r>
      <w:r>
        <w:rPr>
          <w:rFonts w:ascii="Times New Roman" w:hAnsi="Times New Roman" w:cs="Times New Roman"/>
          <w:sz w:val="20"/>
          <w:szCs w:val="20"/>
        </w:rPr>
        <w:lastRenderedPageBreak/>
        <w:t>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71. При первом применении метода доходности инвестированного капитала полная величина инвестированного капитала устанавливается в соответствии с </w:t>
      </w:r>
      <w:hyperlink w:anchor="Par516" w:history="1">
        <w:r>
          <w:rPr>
            <w:rFonts w:ascii="Times New Roman" w:hAnsi="Times New Roman" w:cs="Times New Roman"/>
            <w:color w:val="0000FF"/>
            <w:sz w:val="20"/>
            <w:szCs w:val="20"/>
          </w:rPr>
          <w:t>пунктами 63</w:t>
        </w:r>
      </w:hyperlink>
      <w:r>
        <w:rPr>
          <w:rFonts w:ascii="Times New Roman" w:hAnsi="Times New Roman" w:cs="Times New Roman"/>
          <w:sz w:val="20"/>
          <w:szCs w:val="20"/>
        </w:rPr>
        <w:t xml:space="preserve"> - </w:t>
      </w:r>
      <w:hyperlink w:anchor="Par536" w:history="1">
        <w:r>
          <w:rPr>
            <w:rFonts w:ascii="Times New Roman" w:hAnsi="Times New Roman" w:cs="Times New Roman"/>
            <w:color w:val="0000FF"/>
            <w:sz w:val="20"/>
            <w:szCs w:val="20"/>
          </w:rPr>
          <w:t>64</w:t>
        </w:r>
      </w:hyperlink>
      <w:r>
        <w:rPr>
          <w:rFonts w:ascii="Times New Roman" w:hAnsi="Times New Roman" w:cs="Times New Roman"/>
          <w:sz w:val="20"/>
          <w:szCs w:val="20"/>
        </w:rPr>
        <w:t xml:space="preserve"> настоящих Методических указаний. При первом применении метода доходности инвестированного капитала полная величина инвестированного капитала регулируемой организации - арендатора (концессионера) определяется равной первоначальной стоимости инвестированного капитала. В дальнейшем полная величина инвестированного капитала рассчитывается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B9ED75C" wp14:editId="07B89F78">
            <wp:extent cx="2657475" cy="257175"/>
            <wp:effectExtent l="0" t="0" r="9525"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657475" cy="257175"/>
                    </a:xfrm>
                    <a:prstGeom prst="rect">
                      <a:avLst/>
                    </a:prstGeom>
                    <a:noFill/>
                    <a:ln>
                      <a:noFill/>
                    </a:ln>
                  </pic:spPr>
                </pic:pic>
              </a:graphicData>
            </a:graphic>
          </wp:inline>
        </w:drawing>
      </w:r>
      <w:r>
        <w:rPr>
          <w:rFonts w:ascii="Times New Roman" w:hAnsi="Times New Roman" w:cs="Times New Roman"/>
          <w:sz w:val="20"/>
          <w:szCs w:val="20"/>
        </w:rPr>
        <w:t>, (20)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0CA772A" wp14:editId="024A656C">
            <wp:extent cx="2695575" cy="257175"/>
            <wp:effectExtent l="0" t="0" r="952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695575" cy="257175"/>
                    </a:xfrm>
                    <a:prstGeom prst="rect">
                      <a:avLst/>
                    </a:prstGeom>
                    <a:noFill/>
                    <a:ln>
                      <a:noFill/>
                    </a:ln>
                  </pic:spPr>
                </pic:pic>
              </a:graphicData>
            </a:graphic>
          </wp:inline>
        </w:drawing>
      </w:r>
      <w:r>
        <w:rPr>
          <w:rFonts w:ascii="Times New Roman" w:hAnsi="Times New Roman" w:cs="Times New Roman"/>
          <w:sz w:val="20"/>
          <w:szCs w:val="20"/>
        </w:rPr>
        <w:t>, (20.1)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B218792" wp14:editId="505AD3BE">
            <wp:extent cx="2133600" cy="25717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133600" cy="257175"/>
                    </a:xfrm>
                    <a:prstGeom prst="rect">
                      <a:avLst/>
                    </a:prstGeom>
                    <a:noFill/>
                    <a:ln>
                      <a:noFill/>
                    </a:ln>
                  </pic:spPr>
                </pic:pic>
              </a:graphicData>
            </a:graphic>
          </wp:inline>
        </w:drawing>
      </w:r>
      <w:r>
        <w:rPr>
          <w:rFonts w:ascii="Times New Roman" w:hAnsi="Times New Roman" w:cs="Times New Roman"/>
          <w:sz w:val="20"/>
          <w:szCs w:val="20"/>
        </w:rPr>
        <w:t>, (20.2)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779F990" wp14:editId="2D67E57A">
            <wp:extent cx="390525" cy="228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Pr>
          <w:rFonts w:ascii="Times New Roman" w:hAnsi="Times New Roman" w:cs="Times New Roman"/>
          <w:sz w:val="20"/>
          <w:szCs w:val="20"/>
        </w:rPr>
        <w:t xml:space="preserve"> - полная величина инвестированного капитала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5DB3CD6" wp14:editId="46B9841B">
            <wp:extent cx="447675" cy="257175"/>
            <wp:effectExtent l="0" t="0" r="9525"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rFonts w:ascii="Times New Roman" w:hAnsi="Times New Roman" w:cs="Times New Roman"/>
          <w:sz w:val="20"/>
          <w:szCs w:val="20"/>
        </w:rPr>
        <w:t xml:space="preserve"> - полная величина инвестированного капитала арендатора (концессионера)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60DD9A6" wp14:editId="6C6386F9">
            <wp:extent cx="342900" cy="25717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Pr>
          <w:rFonts w:ascii="Times New Roman" w:hAnsi="Times New Roman" w:cs="Times New Roman"/>
          <w:sz w:val="20"/>
          <w:szCs w:val="20"/>
        </w:rPr>
        <w:t xml:space="preserve"> - стоимость строительства (реконструкции, модернизации) объектов централизованных систем водоснабжения и (или) водоотведения, введенных в эксплуатацию в течение предыдущего периода регулирования,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13DFE36" wp14:editId="024E2BEC">
            <wp:extent cx="504825" cy="25717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Pr>
          <w:rFonts w:ascii="Times New Roman" w:hAnsi="Times New Roman" w:cs="Times New Roman"/>
          <w:sz w:val="20"/>
          <w:szCs w:val="20"/>
        </w:rPr>
        <w:t xml:space="preserve"> - полная стоимость объектов централизованных систем водоснабжения и (или) водоотведения, выбывших из эксплуатации и (или) отчужденных иным образом регулируемой организацией в году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BF7A918" wp14:editId="371EC594">
            <wp:extent cx="409575" cy="228600"/>
            <wp:effectExtent l="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инвестированного капитала, возвращенного в полном объеме (величина инвестированного капитала, для которого истек срок возврата инвестированного капитала),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28E90A7" wp14:editId="225035AE">
            <wp:extent cx="276225" cy="22860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Pr>
          <w:rFonts w:ascii="Times New Roman" w:hAnsi="Times New Roman" w:cs="Times New Roman"/>
          <w:sz w:val="20"/>
          <w:szCs w:val="20"/>
        </w:rPr>
        <w:t xml:space="preserve"> - капитальные вложения в году i, определяемые как стоимость объектов централизованных систем водоснабжения и (или) водоотведения, введенных в эксплуатацию, но не выше стоимости строительства объектов, рассчитанной в соответствии с укрупненными нормативами цены создания различных видов объектов капитального строительства непроизводственного назначения,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A2813F9" wp14:editId="6E932766">
            <wp:extent cx="504825" cy="2286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Pr>
          <w:rFonts w:ascii="Times New Roman" w:hAnsi="Times New Roman" w:cs="Times New Roman"/>
          <w:sz w:val="20"/>
          <w:szCs w:val="20"/>
        </w:rPr>
        <w:t xml:space="preserve"> - изменение количества активов в году i, связанное с приобретением или отчуждением объектов централизованных систем водоснабжения и водоотведения в пользу третьих лиц, определяемое с использованием полной стоимости таких объектов по данным бухгалтерского учета (но не выше укрупненных сметных нормативов для строительства таких объектов),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E5B5C48" wp14:editId="31F0031C">
            <wp:extent cx="304800" cy="2286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платы за подключение (технологическое присоединение), начисленная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FB4118D" wp14:editId="1A1239E6">
            <wp:extent cx="266700" cy="2286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объектов централизованных систем водоснабжения и (или) водоотведения в году i,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r>
        <w:rPr>
          <w:rFonts w:ascii="Times New Roman" w:hAnsi="Times New Roman" w:cs="Times New Roman"/>
          <w:b/>
          <w:bCs/>
          <w:sz w:val="20"/>
          <w:szCs w:val="20"/>
        </w:rPr>
        <w:t>VI.IV. Возврат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bookmarkStart w:id="57" w:name="Par591"/>
      <w:bookmarkEnd w:id="57"/>
      <w:r>
        <w:rPr>
          <w:rFonts w:ascii="Times New Roman" w:hAnsi="Times New Roman" w:cs="Times New Roman"/>
          <w:sz w:val="20"/>
          <w:szCs w:val="20"/>
        </w:rPr>
        <w:t>72. Возврат инвестированного капитала осуществляется равными долями каждый год в течение срока возврата инвестированного капитала, начиная с года, следующего за годом, в котором (в соответствии с утвержденной инвестиционной программой) построенный, реконструированный и (или) модернизированный объект централизованных систем водоснабжения и (или) водоотведения в установленном порядке введен в эксплуатацию. Размер средств, обеспечивающих возврат инвестированного капитала, который подлежит учету при установлении тарифов на очередной год долгосрочного периода регулирования,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2"/>
          <w:sz w:val="20"/>
          <w:szCs w:val="20"/>
          <w:lang w:eastAsia="ru-RU"/>
        </w:rPr>
        <w:drawing>
          <wp:inline distT="0" distB="0" distL="0" distR="0" wp14:anchorId="4843E0B4" wp14:editId="6F104369">
            <wp:extent cx="876300" cy="4095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876300" cy="409575"/>
                    </a:xfrm>
                    <a:prstGeom prst="rect">
                      <a:avLst/>
                    </a:prstGeom>
                    <a:noFill/>
                    <a:ln>
                      <a:noFill/>
                    </a:ln>
                  </pic:spPr>
                </pic:pic>
              </a:graphicData>
            </a:graphic>
          </wp:inline>
        </w:drawing>
      </w:r>
      <w:r>
        <w:rPr>
          <w:rFonts w:ascii="Times New Roman" w:hAnsi="Times New Roman" w:cs="Times New Roman"/>
          <w:sz w:val="20"/>
          <w:szCs w:val="20"/>
        </w:rPr>
        <w:t>, (21)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DF7142B" wp14:editId="6ACDADBB">
            <wp:extent cx="295275" cy="228600"/>
            <wp:effectExtent l="0" t="0" r="952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возврат инвестированного капитала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F8EBF4A" wp14:editId="524D6A80">
            <wp:extent cx="466725" cy="228600"/>
            <wp:effectExtent l="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Pr>
          <w:rFonts w:ascii="Times New Roman" w:hAnsi="Times New Roman" w:cs="Times New Roman"/>
          <w:sz w:val="20"/>
          <w:szCs w:val="20"/>
        </w:rPr>
        <w:t xml:space="preserve"> - полный размер инвестированного капитала, определенный на начало года i (конец года i-1),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СВК - срок возврата инвестированного капитала,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73. Срок возврата инвестированного капитала устанавливается по решению органа регулирования тарифов в зависимости от величины предельных (минимальных и (или) максимальных) индексов роста цен (тарифов), учитываемых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отношении организаций, осуществляющих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по концессионному соглашению или договору аренды таких систем и (или) объектов, - равным от 10 до 30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отношении иных регулируемых организаций - равным от 20 до 30 лет.</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73 в ред. </w:t>
      </w:r>
      <w:hyperlink r:id="rId23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r>
        <w:rPr>
          <w:rFonts w:ascii="Times New Roman" w:hAnsi="Times New Roman" w:cs="Times New Roman"/>
          <w:b/>
          <w:bCs/>
          <w:sz w:val="20"/>
          <w:szCs w:val="20"/>
        </w:rPr>
        <w:t>VI.V. Доход на инвестированный капитал</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bookmarkStart w:id="58" w:name="Par606"/>
      <w:bookmarkEnd w:id="58"/>
      <w:r>
        <w:rPr>
          <w:rFonts w:ascii="Times New Roman" w:hAnsi="Times New Roman" w:cs="Times New Roman"/>
          <w:sz w:val="20"/>
          <w:szCs w:val="20"/>
        </w:rPr>
        <w:t>74. В необходимую валовую выручку регулируемой организации на i-й год включается доход на инвестированный капитал, рассчитанный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7EFB8AA3" wp14:editId="13027CC3">
            <wp:extent cx="1685925" cy="257175"/>
            <wp:effectExtent l="0" t="0" r="9525"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85925" cy="257175"/>
                    </a:xfrm>
                    <a:prstGeom prst="rect">
                      <a:avLst/>
                    </a:prstGeom>
                    <a:noFill/>
                    <a:ln>
                      <a:noFill/>
                    </a:ln>
                  </pic:spPr>
                </pic:pic>
              </a:graphicData>
            </a:graphic>
          </wp:inline>
        </w:drawing>
      </w:r>
      <w:r>
        <w:rPr>
          <w:rFonts w:ascii="Times New Roman" w:hAnsi="Times New Roman" w:cs="Times New Roman"/>
          <w:sz w:val="20"/>
          <w:szCs w:val="20"/>
        </w:rPr>
        <w:t>, (22)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2"/>
          <w:sz w:val="20"/>
          <w:szCs w:val="20"/>
          <w:lang w:eastAsia="ru-RU"/>
        </w:rPr>
        <w:drawing>
          <wp:inline distT="0" distB="0" distL="0" distR="0" wp14:anchorId="61790DE5" wp14:editId="7C16E7D9">
            <wp:extent cx="1781175" cy="276225"/>
            <wp:effectExtent l="0" t="0" r="9525"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pic:spPr>
                </pic:pic>
              </a:graphicData>
            </a:graphic>
          </wp:inline>
        </w:drawing>
      </w:r>
      <w:r>
        <w:rPr>
          <w:rFonts w:ascii="Times New Roman" w:hAnsi="Times New Roman" w:cs="Times New Roman"/>
          <w:sz w:val="20"/>
          <w:szCs w:val="20"/>
        </w:rPr>
        <w:t>, (22.2)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5C971FC" wp14:editId="6C2697A7">
            <wp:extent cx="295275" cy="22860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hAnsi="Times New Roman" w:cs="Times New Roman"/>
          <w:sz w:val="20"/>
          <w:szCs w:val="20"/>
        </w:rPr>
        <w:t xml:space="preserve"> - доход на инвестированный капитал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F94C9F8" wp14:editId="2A1502F1">
            <wp:extent cx="333375" cy="25717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Pr>
          <w:rFonts w:ascii="Times New Roman" w:hAnsi="Times New Roman" w:cs="Times New Roman"/>
          <w:sz w:val="20"/>
          <w:szCs w:val="20"/>
        </w:rPr>
        <w:t xml:space="preserve"> - доход на инвестированный капитал арендатора (концессионера)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31E94D9" wp14:editId="4740EC46">
            <wp:extent cx="381000" cy="2286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Pr>
          <w:rFonts w:ascii="Times New Roman" w:hAnsi="Times New Roman" w:cs="Times New Roman"/>
          <w:sz w:val="20"/>
          <w:szCs w:val="20"/>
        </w:rPr>
        <w:t xml:space="preserve"> - база инвестированного капитала, определенная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0B5100D" wp14:editId="5D358C4D">
            <wp:extent cx="419100" cy="257175"/>
            <wp:effectExtent l="0" t="0" r="0"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rFonts w:ascii="Times New Roman" w:hAnsi="Times New Roman" w:cs="Times New Roman"/>
          <w:sz w:val="20"/>
          <w:szCs w:val="20"/>
        </w:rPr>
        <w:t xml:space="preserve"> - база инвестированного капитала арендатора (концессионера), определенная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A544E0C" wp14:editId="3F4307AA">
            <wp:extent cx="409575" cy="22860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чистый оборотный капитал, определенный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989CE6A" wp14:editId="06C08131">
            <wp:extent cx="304800" cy="2286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Pr>
          <w:rFonts w:ascii="Times New Roman" w:hAnsi="Times New Roman" w:cs="Times New Roman"/>
          <w:sz w:val="20"/>
          <w:szCs w:val="20"/>
        </w:rPr>
        <w:t xml:space="preserve"> - норма доходности на инвестированный капитал в году i,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Доход на инвестированный капитал в течение первых двух лет после перехода к регулированию тарифов методом обеспечения доходности инвестированного капитала рассчитывается по формулам (в случае принятия решения об установлении различной нормы доходности на инвестированный капитал, созданный до и после перехода к установлению тарифов с использованием метода обеспечения доходности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2228EF9F" wp14:editId="177D70CB">
            <wp:extent cx="1876425" cy="257175"/>
            <wp:effectExtent l="0" t="0" r="9525"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876425" cy="257175"/>
                    </a:xfrm>
                    <a:prstGeom prst="rect">
                      <a:avLst/>
                    </a:prstGeom>
                    <a:noFill/>
                    <a:ln>
                      <a:noFill/>
                    </a:ln>
                  </pic:spPr>
                </pic:pic>
              </a:graphicData>
            </a:graphic>
          </wp:inline>
        </w:drawing>
      </w:r>
      <w:r>
        <w:rPr>
          <w:rFonts w:ascii="Times New Roman" w:hAnsi="Times New Roman" w:cs="Times New Roman"/>
          <w:sz w:val="20"/>
          <w:szCs w:val="20"/>
        </w:rPr>
        <w:t>, (23)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425CE0E8" wp14:editId="002CF0DD">
            <wp:extent cx="4905375" cy="41910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905375" cy="419100"/>
                    </a:xfrm>
                    <a:prstGeom prst="rect">
                      <a:avLst/>
                    </a:prstGeom>
                    <a:noFill/>
                    <a:ln>
                      <a:noFill/>
                    </a:ln>
                  </pic:spPr>
                </pic:pic>
              </a:graphicData>
            </a:graphic>
          </wp:inline>
        </w:drawing>
      </w:r>
      <w:r>
        <w:rPr>
          <w:rFonts w:ascii="Times New Roman" w:hAnsi="Times New Roman" w:cs="Times New Roman"/>
          <w:sz w:val="20"/>
          <w:szCs w:val="20"/>
        </w:rPr>
        <w:t>, (23.1)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720F3D3" wp14:editId="2636BF92">
            <wp:extent cx="352425" cy="25717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Pr>
          <w:rFonts w:ascii="Times New Roman" w:hAnsi="Times New Roman" w:cs="Times New Roman"/>
          <w:sz w:val="20"/>
          <w:szCs w:val="20"/>
        </w:rPr>
        <w:t xml:space="preserve"> - норма доходности на инвестированный капитал, созданный до перехода к установлению тарифов с использованием метода обеспечения доходности инвестированного капитала,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D6004B4" wp14:editId="07A13DDE">
            <wp:extent cx="419100" cy="25717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rFonts w:ascii="Times New Roman" w:hAnsi="Times New Roman" w:cs="Times New Roman"/>
          <w:sz w:val="20"/>
          <w:szCs w:val="20"/>
        </w:rPr>
        <w:t xml:space="preserve"> - норма доходности на инвестированный капитал, созданный после перехода к установлению тарифов с использованием метода обеспечения доходности инвестированного капитала,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75. В случае если организация эксплуатирует производственные объекты в соответствии с договором аренды или концессионным соглашением, доход на капитал, инвестированный арендодателем (концедентом), не начисляется.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76. Нормативная величина чистого оборотного капитала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59" w:name="Par631"/>
      <w:bookmarkEnd w:id="59"/>
      <w:r>
        <w:rPr>
          <w:rFonts w:ascii="Times New Roman" w:hAnsi="Times New Roman" w:cs="Times New Roman"/>
          <w:noProof/>
          <w:position w:val="-8"/>
          <w:sz w:val="20"/>
          <w:szCs w:val="20"/>
          <w:lang w:eastAsia="ru-RU"/>
        </w:rPr>
        <w:drawing>
          <wp:inline distT="0" distB="0" distL="0" distR="0" wp14:anchorId="4FCF2445" wp14:editId="58AF54DD">
            <wp:extent cx="1266825" cy="22860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66825" cy="228600"/>
                    </a:xfrm>
                    <a:prstGeom prst="rect">
                      <a:avLst/>
                    </a:prstGeom>
                    <a:noFill/>
                    <a:ln>
                      <a:noFill/>
                    </a:ln>
                  </pic:spPr>
                </pic:pic>
              </a:graphicData>
            </a:graphic>
          </wp:inline>
        </w:drawing>
      </w:r>
      <w:r>
        <w:rPr>
          <w:rFonts w:ascii="Times New Roman" w:hAnsi="Times New Roman" w:cs="Times New Roman"/>
          <w:sz w:val="20"/>
          <w:szCs w:val="20"/>
        </w:rPr>
        <w:t>, (24)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9578E68" wp14:editId="0EFF09BF">
            <wp:extent cx="409575" cy="228600"/>
            <wp:effectExtent l="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нормативная величина чистого оборотного капитала, определенная на начало года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9258F52" wp14:editId="60F819B3">
            <wp:extent cx="457200" cy="2286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установленная на год i-1,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bookmarkStart w:id="60" w:name="Par637"/>
      <w:bookmarkEnd w:id="60"/>
      <w:r>
        <w:rPr>
          <w:rFonts w:ascii="Times New Roman" w:hAnsi="Times New Roman" w:cs="Times New Roman"/>
          <w:b/>
          <w:bCs/>
          <w:sz w:val="20"/>
          <w:szCs w:val="20"/>
        </w:rPr>
        <w:t>VI.VI. Расчет нормы доходности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77. Норма доходности инвестированного капитала (далее - норма доходности) определяется органом регулирования тарифов на долгосрочный период регулирования (и в течение этого периода не пересматривается) на уровне не ниже минимальной </w:t>
      </w:r>
      <w:hyperlink r:id="rId251" w:history="1">
        <w:r>
          <w:rPr>
            <w:rFonts w:ascii="Times New Roman" w:hAnsi="Times New Roman" w:cs="Times New Roman"/>
            <w:color w:val="0000FF"/>
            <w:sz w:val="20"/>
            <w:szCs w:val="20"/>
          </w:rPr>
          <w:t>нормы</w:t>
        </w:r>
      </w:hyperlink>
      <w:r>
        <w:rPr>
          <w:rFonts w:ascii="Times New Roman" w:hAnsi="Times New Roman" w:cs="Times New Roman"/>
          <w:sz w:val="20"/>
          <w:szCs w:val="20"/>
        </w:rPr>
        <w:t xml:space="preserve"> доходности, установленной федеральным органом регулирования тарифов, в соответствии со следующей формулой: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8FECADC" wp14:editId="51B923CD">
            <wp:extent cx="1181100" cy="2286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Pr>
          <w:rFonts w:ascii="Times New Roman" w:hAnsi="Times New Roman" w:cs="Times New Roman"/>
          <w:sz w:val="20"/>
          <w:szCs w:val="20"/>
        </w:rPr>
        <w:t>, (25)</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69F4D0F" wp14:editId="685C0D44">
            <wp:extent cx="419100" cy="2286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w:hAnsi="Times New Roman" w:cs="Times New Roman"/>
          <w:sz w:val="20"/>
          <w:szCs w:val="20"/>
        </w:rPr>
        <w:t xml:space="preserve"> - минимальная норма доходности;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ДГО - предложенное Министерством экономического развития Российской Федерации значение безрисковой ставки, равной средней доходности долгосрочных государственных обязательств, выраженных в рублях, со сроком до погашения не менее восьми лет и не более десяти лет, определяемой за год, предшествующий году принятия решения об установлении тарифов, определяемой в соответствии с </w:t>
      </w:r>
      <w:hyperlink r:id="rId254" w:history="1">
        <w:r>
          <w:rPr>
            <w:rFonts w:ascii="Times New Roman" w:hAnsi="Times New Roman" w:cs="Times New Roman"/>
            <w:color w:val="0000FF"/>
            <w:sz w:val="20"/>
            <w:szCs w:val="20"/>
          </w:rPr>
          <w:t>Методикой</w:t>
        </w:r>
      </w:hyperlink>
      <w:r>
        <w:rPr>
          <w:rFonts w:ascii="Times New Roman" w:hAnsi="Times New Roman" w:cs="Times New Roman"/>
          <w:sz w:val="20"/>
          <w:szCs w:val="20"/>
        </w:rPr>
        <w:t xml:space="preserve">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 утвержденной приказом Минэкономразвития России от 26.07.2010 N 329 (зарегистрирован Минюстом России 16 августа 2010 г., регистрационный N 18169), с изменениями, внесенными приказом Минэкономразвития России от 21.02.2011 N 55 (зарегистрирован Минюстом России 10 марта 2011 г., регистрационный N 20032).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78. Норма доходности инвестированного капитала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7"/>
          <w:sz w:val="20"/>
          <w:szCs w:val="20"/>
          <w:lang w:eastAsia="ru-RU"/>
        </w:rPr>
        <w:lastRenderedPageBreak/>
        <w:drawing>
          <wp:inline distT="0" distB="0" distL="0" distR="0" wp14:anchorId="2E75DB39" wp14:editId="7A67D44C">
            <wp:extent cx="1609725" cy="21907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609725" cy="219075"/>
                    </a:xfrm>
                    <a:prstGeom prst="rect">
                      <a:avLst/>
                    </a:prstGeom>
                    <a:noFill/>
                    <a:ln>
                      <a:noFill/>
                    </a:ln>
                  </pic:spPr>
                </pic:pic>
              </a:graphicData>
            </a:graphic>
          </wp:inline>
        </w:drawing>
      </w:r>
      <w:r>
        <w:rPr>
          <w:rFonts w:ascii="Times New Roman" w:hAnsi="Times New Roman" w:cs="Times New Roman"/>
          <w:sz w:val="20"/>
          <w:szCs w:val="20"/>
        </w:rPr>
        <w:t>, (26)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НД - норма доходности инвестированного капитала,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СЗК - стоимость заемного капитала,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ССК - стоимость собственного капитала,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79. Стоимость заемного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C486975" wp14:editId="0102A578">
            <wp:extent cx="1266825" cy="228600"/>
            <wp:effectExtent l="0" t="0" r="952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66825" cy="228600"/>
                    </a:xfrm>
                    <a:prstGeom prst="rect">
                      <a:avLst/>
                    </a:prstGeom>
                    <a:noFill/>
                    <a:ln>
                      <a:noFill/>
                    </a:ln>
                  </pic:spPr>
                </pic:pic>
              </a:graphicData>
            </a:graphic>
          </wp:inline>
        </w:drawing>
      </w:r>
      <w:r>
        <w:rPr>
          <w:rFonts w:ascii="Times New Roman" w:hAnsi="Times New Roman" w:cs="Times New Roman"/>
          <w:sz w:val="20"/>
          <w:szCs w:val="20"/>
        </w:rPr>
        <w:t>, (27)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D9298BA" wp14:editId="5BF9F0E2">
            <wp:extent cx="447675" cy="2286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Pr>
          <w:rFonts w:ascii="Times New Roman" w:hAnsi="Times New Roman" w:cs="Times New Roman"/>
          <w:sz w:val="20"/>
          <w:szCs w:val="20"/>
        </w:rPr>
        <w:t xml:space="preserve"> - премия за риск инвестирования в долговые обязательства регулируемых организаций. В первом долгосрочном периоде регулирования значение премии за кредитный риск не может быть ниже 3 процентов.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80. Норма доходности инвестированного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два года долгосрочного периода регулирования определяется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E9B0730" wp14:editId="3C6F844B">
            <wp:extent cx="1285875" cy="228600"/>
            <wp:effectExtent l="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285875" cy="228600"/>
                    </a:xfrm>
                    <a:prstGeom prst="rect">
                      <a:avLst/>
                    </a:prstGeom>
                    <a:noFill/>
                    <a:ln>
                      <a:noFill/>
                    </a:ln>
                  </pic:spPr>
                </pic:pic>
              </a:graphicData>
            </a:graphic>
          </wp:inline>
        </w:drawing>
      </w:r>
      <w:r>
        <w:rPr>
          <w:rFonts w:ascii="Times New Roman" w:hAnsi="Times New Roman" w:cs="Times New Roman"/>
          <w:sz w:val="20"/>
          <w:szCs w:val="20"/>
        </w:rPr>
        <w:t>, (28)</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D331281" wp14:editId="4B59AFDC">
            <wp:extent cx="1038225" cy="22860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r>
        <w:rPr>
          <w:rFonts w:ascii="Times New Roman" w:hAnsi="Times New Roman" w:cs="Times New Roman"/>
          <w:sz w:val="20"/>
          <w:szCs w:val="20"/>
        </w:rPr>
        <w:t>. (28.1)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81. Стоимость собственного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ABC7253" wp14:editId="3A7AA71B">
            <wp:extent cx="125730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Pr>
          <w:rFonts w:ascii="Times New Roman" w:hAnsi="Times New Roman" w:cs="Times New Roman"/>
          <w:sz w:val="20"/>
          <w:szCs w:val="20"/>
        </w:rPr>
        <w:t>, (29)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E697F31" wp14:editId="0041401D">
            <wp:extent cx="409575" cy="228600"/>
            <wp:effectExtent l="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премия за риск инвестирования в собственный капитал регулируемых организаций. Величина премии за риск инвестирования определяется органами регулирования и не может быть ниже 6% в первый долгосрочный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82. Норма доходности инвестированного капитала, применяемая в отношении регулируемой организации, может быть установлена концессионным соглашением.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83. Начиная с 3-го года 1-го долгосрочного периода регулирования норма доходности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устанавливается в виде одной ставки.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bookmarkStart w:id="61" w:name="Par675"/>
      <w:bookmarkEnd w:id="61"/>
      <w:r>
        <w:rPr>
          <w:rFonts w:ascii="Times New Roman" w:hAnsi="Times New Roman" w:cs="Times New Roman"/>
          <w:b/>
          <w:bCs/>
          <w:sz w:val="20"/>
          <w:szCs w:val="20"/>
        </w:rPr>
        <w:t>VII. Расчет необходимой валовой выручки методом индексации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bookmarkStart w:id="62" w:name="Par677"/>
      <w:bookmarkEnd w:id="62"/>
      <w:r>
        <w:rPr>
          <w:rFonts w:ascii="Times New Roman" w:hAnsi="Times New Roman" w:cs="Times New Roman"/>
          <w:sz w:val="20"/>
          <w:szCs w:val="20"/>
        </w:rPr>
        <w:t>84. К долгосрочным параметрам регулирования тарифов, определяемым на долгосрочный период регулирования при установлении тарифов с использованием метода индексации, относятся: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базовый уровень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индекс эффективности операционных расходов;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нормативный уровень прибыли;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показатели энергосбережения и энергетической эффективности (уровень потерь воды, удельный расход электрической энергии);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(пп. 4 в ред. </w:t>
      </w:r>
      <w:hyperlink r:id="rId262"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исключен. - </w:t>
      </w:r>
      <w:hyperlink r:id="rId263"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85. При установлении тарифов с применением метода индексации до начала очередного долгосрочного периода регулирования необходимая валовая выручка регулируемой организации рассчитывается отдельно на каждый i-й расчетный период регулирования долгосрочного периода регулирования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26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2454CAF" wp14:editId="179BBF9A">
            <wp:extent cx="2409825" cy="238125"/>
            <wp:effectExtent l="0" t="0" r="9525"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409825" cy="238125"/>
                    </a:xfrm>
                    <a:prstGeom prst="rect">
                      <a:avLst/>
                    </a:prstGeom>
                    <a:noFill/>
                    <a:ln>
                      <a:noFill/>
                    </a:ln>
                  </pic:spPr>
                </pic:pic>
              </a:graphicData>
            </a:graphic>
          </wp:inline>
        </w:drawing>
      </w:r>
      <w:r>
        <w:rPr>
          <w:rFonts w:ascii="Times New Roman" w:hAnsi="Times New Roman" w:cs="Times New Roman"/>
          <w:sz w:val="20"/>
          <w:szCs w:val="20"/>
        </w:rPr>
        <w:t>, (30)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266"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D1239A2" wp14:editId="4F39C8A7">
            <wp:extent cx="409575" cy="228600"/>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установленная на год i долгосрочного периода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6D38F79" wp14:editId="2D3408DF">
            <wp:extent cx="257175" cy="228600"/>
            <wp:effectExtent l="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hAnsi="Times New Roman" w:cs="Times New Roman"/>
          <w:sz w:val="20"/>
          <w:szCs w:val="20"/>
        </w:rPr>
        <w:t xml:space="preserve"> - текущие расходы регулируемой организации, планируемые на год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0452CDA" wp14:editId="38D678DE">
            <wp:extent cx="190500" cy="2286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расходы на амортизацию основных средств и нематериальных активов в году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6E7B60A" wp14:editId="523F6BDB">
            <wp:extent cx="276225" cy="228600"/>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Pr>
          <w:rFonts w:ascii="Times New Roman" w:hAnsi="Times New Roman" w:cs="Times New Roman"/>
          <w:sz w:val="20"/>
          <w:szCs w:val="20"/>
        </w:rPr>
        <w:t xml:space="preserve"> - нормативная прибыль, установленная на год i,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619A2AC" wp14:editId="008292D4">
            <wp:extent cx="504825" cy="257175"/>
            <wp:effectExtent l="0" t="0" r="9525"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Pr>
          <w:rFonts w:ascii="Times New Roman" w:hAnsi="Times New Roman" w:cs="Times New Roman"/>
          <w:sz w:val="20"/>
          <w:szCs w:val="20"/>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 рассчитанная в соответствии с </w:t>
      </w:r>
      <w:hyperlink w:anchor="Par313" w:history="1">
        <w:r>
          <w:rPr>
            <w:rFonts w:ascii="Times New Roman" w:hAnsi="Times New Roman" w:cs="Times New Roman"/>
            <w:color w:val="0000FF"/>
            <w:sz w:val="20"/>
            <w:szCs w:val="20"/>
          </w:rPr>
          <w:t>формулами (5)</w:t>
        </w:r>
      </w:hyperlink>
      <w:r>
        <w:rPr>
          <w:rFonts w:ascii="Times New Roman" w:hAnsi="Times New Roman" w:cs="Times New Roman"/>
          <w:sz w:val="20"/>
          <w:szCs w:val="20"/>
        </w:rPr>
        <w:t xml:space="preserve"> и </w:t>
      </w:r>
      <w:hyperlink w:anchor="Par315" w:history="1">
        <w:r>
          <w:rPr>
            <w:rFonts w:ascii="Times New Roman" w:hAnsi="Times New Roman" w:cs="Times New Roman"/>
            <w:color w:val="0000FF"/>
            <w:sz w:val="20"/>
            <w:szCs w:val="20"/>
          </w:rPr>
          <w:t>(6)</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C478989" wp14:editId="4F74214A">
            <wp:extent cx="333375" cy="238125"/>
            <wp:effectExtent l="0" t="0" r="9525" b="952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rFonts w:ascii="Times New Roman" w:hAnsi="Times New Roman" w:cs="Times New Roman"/>
          <w:sz w:val="20"/>
          <w:szCs w:val="20"/>
        </w:rPr>
        <w:t xml:space="preserve"> - расчетная предпринимательская прибыль гарантирующей организации на год i,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273"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63" w:name="Par698"/>
      <w:bookmarkEnd w:id="63"/>
      <w:r>
        <w:rPr>
          <w:rFonts w:ascii="Times New Roman" w:hAnsi="Times New Roman" w:cs="Times New Roman"/>
          <w:sz w:val="20"/>
          <w:szCs w:val="20"/>
        </w:rPr>
        <w:t xml:space="preserve">86. Величина нормативной прибыли на i-й год, определяется в соответствии с </w:t>
      </w:r>
      <w:hyperlink w:anchor="Par701" w:history="1">
        <w:r>
          <w:rPr>
            <w:rFonts w:ascii="Times New Roman" w:hAnsi="Times New Roman" w:cs="Times New Roman"/>
            <w:color w:val="0000FF"/>
            <w:sz w:val="20"/>
            <w:szCs w:val="20"/>
          </w:rPr>
          <w:t>формулой 30.1</w:t>
        </w:r>
      </w:hyperlink>
      <w:r>
        <w:rPr>
          <w:rFonts w:ascii="Times New Roman" w:hAnsi="Times New Roman" w:cs="Times New Roman"/>
          <w:sz w:val="20"/>
          <w:szCs w:val="20"/>
        </w:rPr>
        <w:t xml:space="preserve"> настоящих Методических указаний, за исключением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нормативная прибыль определяется в соответствии с </w:t>
      </w:r>
      <w:hyperlink w:anchor="Par703" w:history="1">
        <w:r>
          <w:rPr>
            <w:rFonts w:ascii="Times New Roman" w:hAnsi="Times New Roman" w:cs="Times New Roman"/>
            <w:color w:val="0000FF"/>
            <w:sz w:val="20"/>
            <w:szCs w:val="20"/>
          </w:rPr>
          <w:t>формулой 31</w:t>
        </w:r>
      </w:hyperlink>
      <w:r>
        <w:rPr>
          <w:rFonts w:ascii="Times New Roman" w:hAnsi="Times New Roman" w:cs="Times New Roman"/>
          <w:sz w:val="20"/>
          <w:szCs w:val="20"/>
        </w:rPr>
        <w:t xml:space="preserve"> настоящего пункта.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64" w:name="Par701"/>
      <w:bookmarkEnd w:id="64"/>
      <w:r>
        <w:rPr>
          <w:rFonts w:ascii="Times New Roman" w:hAnsi="Times New Roman" w:cs="Times New Roman"/>
          <w:noProof/>
          <w:position w:val="-9"/>
          <w:sz w:val="20"/>
          <w:szCs w:val="20"/>
          <w:lang w:eastAsia="ru-RU"/>
        </w:rPr>
        <w:drawing>
          <wp:inline distT="0" distB="0" distL="0" distR="0" wp14:anchorId="352DF507" wp14:editId="3F1DE74F">
            <wp:extent cx="2076450" cy="23812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0764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65" w:name="Par703"/>
      <w:bookmarkEnd w:id="65"/>
      <w:r>
        <w:rPr>
          <w:rFonts w:ascii="Times New Roman" w:hAnsi="Times New Roman" w:cs="Times New Roman"/>
          <w:noProof/>
          <w:position w:val="-9"/>
          <w:sz w:val="20"/>
          <w:szCs w:val="20"/>
          <w:lang w:eastAsia="ru-RU"/>
        </w:rPr>
        <w:drawing>
          <wp:inline distT="0" distB="0" distL="0" distR="0" wp14:anchorId="793F8C66" wp14:editId="15FA28EE">
            <wp:extent cx="1600200" cy="23812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60020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9010050" wp14:editId="7675CC55">
            <wp:extent cx="276225" cy="2286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нормативной прибыли,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02CDFD4" wp14:editId="749380BC">
            <wp:extent cx="304800" cy="23812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rFonts w:ascii="Times New Roman" w:hAnsi="Times New Roman" w:cs="Times New Roman"/>
          <w:sz w:val="20"/>
          <w:szCs w:val="20"/>
        </w:rPr>
        <w:t xml:space="preserve"> - величина нормативной прибыли 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
          <w:sz w:val="20"/>
          <w:szCs w:val="20"/>
          <w:lang w:eastAsia="ru-RU"/>
        </w:rPr>
        <w:drawing>
          <wp:inline distT="0" distB="0" distL="0" distR="0" wp14:anchorId="59BE9964" wp14:editId="000F7D27">
            <wp:extent cx="142875" cy="142875"/>
            <wp:effectExtent l="0" t="0" r="9525"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hAnsi="Times New Roman" w:cs="Times New Roman"/>
          <w:sz w:val="20"/>
          <w:szCs w:val="20"/>
        </w:rPr>
        <w:t xml:space="preserve"> - нормативный уровень прибыли, установленный на i-й год в соответствии с </w:t>
      </w:r>
      <w:hyperlink w:anchor="Par677" w:history="1">
        <w:r>
          <w:rPr>
            <w:rFonts w:ascii="Times New Roman" w:hAnsi="Times New Roman" w:cs="Times New Roman"/>
            <w:color w:val="0000FF"/>
            <w:sz w:val="20"/>
            <w:szCs w:val="20"/>
          </w:rPr>
          <w:t>пунктом 84</w:t>
        </w:r>
      </w:hyperlink>
      <w:r>
        <w:rPr>
          <w:rFonts w:ascii="Times New Roman" w:hAnsi="Times New Roman" w:cs="Times New Roman"/>
          <w:sz w:val="20"/>
          <w:szCs w:val="20"/>
        </w:rPr>
        <w:t xml:space="preserve"> настоящих Методических указаний, %. Нормативный уровень прибыли устанавливается в процентах от необходимой валовой выручки на каждый год долгосрочного периода регулирования с учетом планируемых экономически обоснованных расходов из прибыли, в том числе необходимости в </w:t>
      </w:r>
      <w:r>
        <w:rPr>
          <w:rFonts w:ascii="Times New Roman" w:hAnsi="Times New Roman" w:cs="Times New Roman"/>
          <w:sz w:val="20"/>
          <w:szCs w:val="20"/>
        </w:rPr>
        <w:lastRenderedPageBreak/>
        <w:t>осуществлении инвестиций, предусмотренных инвестиционной программой регулируемой организации, в номинальном выражении после уплаты налога на прибыль;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D410341" wp14:editId="7226B665">
            <wp:extent cx="485775" cy="238125"/>
            <wp:effectExtent l="0" t="0" r="9525"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Pr>
          <w:rFonts w:ascii="Times New Roman" w:hAnsi="Times New Roman" w:cs="Times New Roman"/>
          <w:sz w:val="20"/>
          <w:szCs w:val="20"/>
        </w:rPr>
        <w:t xml:space="preserve"> - величина необходимой валовой выручки регулируемой организации, определенная на i-й год без учета объема плановой (расчетной) прибыли от регулируемого вида деятельности и величины налога на прибыль,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КВi - расходы на капитальные вложения (инвестиции), определяемые в соответствии с инвестиционными программами в размере, предусмотренном утвержденной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за исключением расходов на капитальные вложения (инвестиции), осуществляемых за счет платы за подключение к централизованной системе водоснабжения и (или) водоотведения, сумм амортизации, средств бюджетов бюджетной системы Российской Федерации, тыс. руб. В указанную величину также не включаются расходы на погашение и обслуживание заемных средств, привлекаемых на реализацию мероприятий инвестиционной программы;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23029D1" wp14:editId="1CC10AC6">
            <wp:extent cx="371475" cy="23812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rFonts w:ascii="Times New Roman" w:hAnsi="Times New Roman" w:cs="Times New Roman"/>
          <w:sz w:val="20"/>
          <w:szCs w:val="20"/>
        </w:rPr>
        <w:t xml:space="preserve"> -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r:id="rId281" w:history="1">
        <w:r>
          <w:rPr>
            <w:rFonts w:ascii="Times New Roman" w:hAnsi="Times New Roman" w:cs="Times New Roman"/>
            <w:color w:val="0000FF"/>
            <w:sz w:val="20"/>
            <w:szCs w:val="20"/>
          </w:rPr>
          <w:t>пункта 15</w:t>
        </w:r>
      </w:hyperlink>
      <w:r>
        <w:rPr>
          <w:rFonts w:ascii="Times New Roman" w:hAnsi="Times New Roman" w:cs="Times New Roman"/>
          <w:sz w:val="20"/>
          <w:szCs w:val="20"/>
        </w:rPr>
        <w:t xml:space="preserve"> Основ ценообразования,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КДi -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82"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86 в ред. </w:t>
      </w:r>
      <w:hyperlink r:id="rId28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66" w:name="Par714"/>
      <w:bookmarkEnd w:id="66"/>
      <w:r>
        <w:rPr>
          <w:rFonts w:ascii="Times New Roman" w:hAnsi="Times New Roman" w:cs="Times New Roman"/>
          <w:sz w:val="20"/>
          <w:szCs w:val="20"/>
        </w:rPr>
        <w:t xml:space="preserve">86(1). Расчетная предпринимательская прибыль гарантирующей организации определяется в размере 5 процентов текущих расходов на каждый год долгосрочного периода регулирования, определенных в соответствии с </w:t>
      </w:r>
      <w:hyperlink w:anchor="Par726" w:history="1">
        <w:r>
          <w:rPr>
            <w:rFonts w:ascii="Times New Roman" w:hAnsi="Times New Roman" w:cs="Times New Roman"/>
            <w:color w:val="0000FF"/>
            <w:sz w:val="20"/>
            <w:szCs w:val="20"/>
          </w:rPr>
          <w:t>пунктом 88</w:t>
        </w:r>
      </w:hyperlink>
      <w:r>
        <w:rPr>
          <w:rFonts w:ascii="Times New Roman" w:hAnsi="Times New Roman" w:cs="Times New Roman"/>
          <w:sz w:val="20"/>
          <w:szCs w:val="20"/>
        </w:rPr>
        <w:t xml:space="preserve"> настоящего документа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 с учетом особенностей, предусмотренных </w:t>
      </w:r>
      <w:hyperlink r:id="rId284" w:history="1">
        <w:r>
          <w:rPr>
            <w:rFonts w:ascii="Times New Roman" w:hAnsi="Times New Roman" w:cs="Times New Roman"/>
            <w:color w:val="0000FF"/>
            <w:sz w:val="20"/>
            <w:szCs w:val="20"/>
          </w:rPr>
          <w:t>пунктом 78(1)</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28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29.08.2017 N 1130/17)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Абзацы второй - третий утратили силу. - </w:t>
      </w:r>
      <w:hyperlink r:id="rId286"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ФАС России от 29.08.2017 N 1130/17.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Расчетная предпринимательская прибыль гарантирующей организации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34C70B39" wp14:editId="53065383">
            <wp:extent cx="1704975" cy="257175"/>
            <wp:effectExtent l="0" t="0" r="9525"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704975" cy="257175"/>
                    </a:xfrm>
                    <a:prstGeom prst="rect">
                      <a:avLst/>
                    </a:prstGeom>
                    <a:noFill/>
                    <a:ln>
                      <a:noFill/>
                    </a:ln>
                  </pic:spPr>
                </pic:pic>
              </a:graphicData>
            </a:graphic>
          </wp:inline>
        </w:drawing>
      </w:r>
      <w:r>
        <w:rPr>
          <w:rFonts w:ascii="Times New Roman" w:hAnsi="Times New Roman" w:cs="Times New Roman"/>
          <w:sz w:val="20"/>
          <w:szCs w:val="20"/>
        </w:rPr>
        <w:t>, (31.1)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34BE9F35" wp14:editId="0FEE8D32">
            <wp:extent cx="257175" cy="200025"/>
            <wp:effectExtent l="0" t="0" r="9525"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Pr>
          <w:rFonts w:ascii="Times New Roman" w:hAnsi="Times New Roman" w:cs="Times New Roman"/>
          <w:sz w:val="20"/>
          <w:szCs w:val="20"/>
        </w:rPr>
        <w:t xml:space="preserve"> - для гарантирующей организации, не являющейся государственным или муниципальным унитарным предприятием, устанавливается в размере 5%, для гарантирующей организации, являющейся государственным или муниципальным унитарным предприятием, устанавливается в размере менее 5% по предложению такой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DAB81F1" wp14:editId="47A4DF08">
            <wp:extent cx="257175" cy="228600"/>
            <wp:effectExtent l="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hAnsi="Times New Roman" w:cs="Times New Roman"/>
          <w:sz w:val="20"/>
          <w:szCs w:val="20"/>
        </w:rPr>
        <w:t xml:space="preserve"> - расходы на выплаты по договорам займа и кредитным договорам, включая возврат сумм основного долга и процентов по ним,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86(1) введен </w:t>
      </w:r>
      <w:hyperlink r:id="rId290"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87. При применении метода индексации регулируемые тарифы устанавливаются на основе долгосрочных параметров регулирования тарифов, устанавливаемых на срок не менее чем 5 лет, а при первом применении такого метода регулирования тарифов - на срок не менее 3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67" w:name="Par726"/>
      <w:bookmarkEnd w:id="67"/>
      <w:r>
        <w:rPr>
          <w:rFonts w:ascii="Times New Roman" w:hAnsi="Times New Roman" w:cs="Times New Roman"/>
          <w:sz w:val="20"/>
          <w:szCs w:val="20"/>
        </w:rPr>
        <w:t xml:space="preserve">88. Величина текущих расходов регулируемой организации определяется в соответствии с </w:t>
      </w:r>
      <w:hyperlink w:anchor="Par334" w:history="1">
        <w:r>
          <w:rPr>
            <w:rFonts w:ascii="Times New Roman" w:hAnsi="Times New Roman" w:cs="Times New Roman"/>
            <w:color w:val="0000FF"/>
            <w:sz w:val="20"/>
            <w:szCs w:val="20"/>
          </w:rPr>
          <w:t>главой VI.I</w:t>
        </w:r>
      </w:hyperlink>
      <w:r>
        <w:rPr>
          <w:rFonts w:ascii="Times New Roman" w:hAnsi="Times New Roman" w:cs="Times New Roman"/>
          <w:sz w:val="20"/>
          <w:szCs w:val="20"/>
        </w:rPr>
        <w:t xml:space="preserve"> настоящих Методических указаний с учетом того, что неподконтрольные расходы включают в себя помимо расходов, указанных в </w:t>
      </w:r>
      <w:hyperlink w:anchor="Par387" w:history="1">
        <w:r>
          <w:rPr>
            <w:rFonts w:ascii="Times New Roman" w:hAnsi="Times New Roman" w:cs="Times New Roman"/>
            <w:color w:val="0000FF"/>
            <w:sz w:val="20"/>
            <w:szCs w:val="20"/>
          </w:rPr>
          <w:t>пункте 49</w:t>
        </w:r>
      </w:hyperlink>
      <w:r>
        <w:rPr>
          <w:rFonts w:ascii="Times New Roman" w:hAnsi="Times New Roman" w:cs="Times New Roman"/>
          <w:sz w:val="20"/>
          <w:szCs w:val="20"/>
        </w:rPr>
        <w:t xml:space="preserve"> настоящих Методических указаний, также расходы на выплаты по договорам займа и кредитным договорам, включая возврат сумм основного долга и проценты по ним, с учетом положений, предусмотренных </w:t>
      </w:r>
      <w:hyperlink w:anchor="Par161" w:history="1">
        <w:r>
          <w:rPr>
            <w:rFonts w:ascii="Times New Roman" w:hAnsi="Times New Roman" w:cs="Times New Roman"/>
            <w:color w:val="0000FF"/>
            <w:sz w:val="20"/>
            <w:szCs w:val="20"/>
          </w:rPr>
          <w:t>пунктом 20</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Расходы на обслуживание займов и кредитов, необходимых для пополнения оборотного капитала, могут быть установлены на долгосрочный период регулирования в размере, равном чистому оборотному капиталу, рассчитанному в соответствии с </w:t>
      </w:r>
      <w:hyperlink w:anchor="Par631" w:history="1">
        <w:r>
          <w:rPr>
            <w:rFonts w:ascii="Times New Roman" w:hAnsi="Times New Roman" w:cs="Times New Roman"/>
            <w:color w:val="0000FF"/>
            <w:sz w:val="20"/>
            <w:szCs w:val="20"/>
          </w:rPr>
          <w:t>формулой (24)</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обслуживание займов и кредитов, привлекаемых с целью реализации инвестиционной программы регулируемой организации, определяются в соответствии с объемами, предусмотренными в источниках финансирования инвестиционной программы.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89. 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w:t>
      </w:r>
      <w:hyperlink w:anchor="Par207" w:history="1">
        <w:r>
          <w:rPr>
            <w:rFonts w:ascii="Times New Roman" w:hAnsi="Times New Roman" w:cs="Times New Roman"/>
            <w:color w:val="0000FF"/>
            <w:sz w:val="20"/>
            <w:szCs w:val="20"/>
          </w:rPr>
          <w:t>пунктом 28</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VII. Корректировка необходимой валовой выручки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90. В целях корректировки долгосрочного тарифа, установленного с применением метода доходности инвестированного капитала или метода индексации, в соответствии с </w:t>
      </w:r>
      <w:hyperlink r:id="rId291" w:history="1">
        <w:r>
          <w:rPr>
            <w:rFonts w:ascii="Times New Roman" w:hAnsi="Times New Roman" w:cs="Times New Roman"/>
            <w:color w:val="0000FF"/>
            <w:sz w:val="20"/>
            <w:szCs w:val="20"/>
          </w:rPr>
          <w:t>пунктом 73</w:t>
        </w:r>
      </w:hyperlink>
      <w:r>
        <w:rPr>
          <w:rFonts w:ascii="Times New Roman" w:hAnsi="Times New Roman" w:cs="Times New Roman"/>
          <w:sz w:val="20"/>
          <w:szCs w:val="20"/>
        </w:rPr>
        <w:t xml:space="preserve"> Основ ценообразования орган регулирования тарифов ежегодно уточняет необходимую валовую выручку регулируемой организации на следующий i-й год долгосрочного периода регулирования (начиная со второго года долгосрочного периода регулирования) с использованием уточненных значений прогнозных параметров регулирования, а также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Корректировка необходимой валовой выручки осуществляется по </w:t>
      </w:r>
      <w:hyperlink w:anchor="Par741" w:history="1">
        <w:r>
          <w:rPr>
            <w:rFonts w:ascii="Times New Roman" w:hAnsi="Times New Roman" w:cs="Times New Roman"/>
            <w:color w:val="0000FF"/>
            <w:sz w:val="20"/>
            <w:szCs w:val="20"/>
          </w:rPr>
          <w:t>формулам 32</w:t>
        </w:r>
      </w:hyperlink>
      <w:r>
        <w:rPr>
          <w:rFonts w:ascii="Times New Roman" w:hAnsi="Times New Roman" w:cs="Times New Roman"/>
          <w:sz w:val="20"/>
          <w:szCs w:val="20"/>
        </w:rPr>
        <w:t xml:space="preserve"> и </w:t>
      </w:r>
      <w:hyperlink w:anchor="Par738" w:history="1">
        <w:r>
          <w:rPr>
            <w:rFonts w:ascii="Times New Roman" w:hAnsi="Times New Roman" w:cs="Times New Roman"/>
            <w:color w:val="0000FF"/>
            <w:sz w:val="20"/>
            <w:szCs w:val="20"/>
          </w:rPr>
          <w:t>32.1</w:t>
        </w:r>
      </w:hyperlink>
      <w:r>
        <w:rPr>
          <w:rFonts w:ascii="Times New Roman" w:hAnsi="Times New Roman" w:cs="Times New Roman"/>
          <w:sz w:val="20"/>
          <w:szCs w:val="20"/>
        </w:rPr>
        <w:t xml:space="preserve">. При этом </w:t>
      </w:r>
      <w:hyperlink w:anchor="Par741" w:history="1">
        <w:r>
          <w:rPr>
            <w:rFonts w:ascii="Times New Roman" w:hAnsi="Times New Roman" w:cs="Times New Roman"/>
            <w:color w:val="0000FF"/>
            <w:sz w:val="20"/>
            <w:szCs w:val="20"/>
          </w:rPr>
          <w:t>формула 32</w:t>
        </w:r>
      </w:hyperlink>
      <w:r>
        <w:rPr>
          <w:rFonts w:ascii="Times New Roman" w:hAnsi="Times New Roman" w:cs="Times New Roman"/>
          <w:sz w:val="20"/>
          <w:szCs w:val="20"/>
        </w:rPr>
        <w:t xml:space="preserve"> применяется при корректировке необходимой валовой выручки регулируемой организации и тарифов, установленных с применением метода индексации, </w:t>
      </w:r>
      <w:hyperlink w:anchor="Par738" w:history="1">
        <w:r>
          <w:rPr>
            <w:rFonts w:ascii="Times New Roman" w:hAnsi="Times New Roman" w:cs="Times New Roman"/>
            <w:color w:val="0000FF"/>
            <w:sz w:val="20"/>
            <w:szCs w:val="20"/>
          </w:rPr>
          <w:t>формула 32.1</w:t>
        </w:r>
      </w:hyperlink>
      <w:r>
        <w:rPr>
          <w:rFonts w:ascii="Times New Roman" w:hAnsi="Times New Roman" w:cs="Times New Roman"/>
          <w:sz w:val="20"/>
          <w:szCs w:val="20"/>
        </w:rPr>
        <w:t xml:space="preserve"> - с применением метода доходности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68" w:name="Par738"/>
      <w:bookmarkEnd w:id="68"/>
      <w:r>
        <w:rPr>
          <w:rFonts w:ascii="Times New Roman" w:hAnsi="Times New Roman" w:cs="Times New Roman"/>
          <w:noProof/>
          <w:position w:val="-8"/>
          <w:sz w:val="20"/>
          <w:szCs w:val="20"/>
          <w:lang w:eastAsia="ru-RU"/>
        </w:rPr>
        <w:drawing>
          <wp:inline distT="0" distB="0" distL="0" distR="0" wp14:anchorId="1B0CFFA3" wp14:editId="5CB7DFDD">
            <wp:extent cx="5038725" cy="238125"/>
            <wp:effectExtent l="0" t="0" r="9525"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038725" cy="238125"/>
                    </a:xfrm>
                    <a:prstGeom prst="rect">
                      <a:avLst/>
                    </a:prstGeom>
                    <a:noFill/>
                    <a:ln>
                      <a:noFill/>
                    </a:ln>
                  </pic:spPr>
                </pic:pic>
              </a:graphicData>
            </a:graphic>
          </wp:inline>
        </w:drawing>
      </w:r>
      <w:r>
        <w:rPr>
          <w:rFonts w:ascii="Times New Roman" w:hAnsi="Times New Roman" w:cs="Times New Roman"/>
          <w:sz w:val="20"/>
          <w:szCs w:val="20"/>
        </w:rPr>
        <w:t xml:space="preserve"> (32.1)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29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27.05.2024 N 363/24)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69" w:name="Par741"/>
      <w:bookmarkEnd w:id="69"/>
      <w:r>
        <w:rPr>
          <w:rFonts w:ascii="Times New Roman" w:hAnsi="Times New Roman" w:cs="Times New Roman"/>
          <w:noProof/>
          <w:position w:val="-8"/>
          <w:sz w:val="20"/>
          <w:szCs w:val="20"/>
          <w:lang w:eastAsia="ru-RU"/>
        </w:rPr>
        <w:lastRenderedPageBreak/>
        <w:drawing>
          <wp:inline distT="0" distB="0" distL="0" distR="0" wp14:anchorId="1513FE59" wp14:editId="3B1166BD">
            <wp:extent cx="5953125" cy="238125"/>
            <wp:effectExtent l="0" t="0" r="9525"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953125" cy="238125"/>
                    </a:xfrm>
                    <a:prstGeom prst="rect">
                      <a:avLst/>
                    </a:prstGeom>
                    <a:noFill/>
                    <a:ln>
                      <a:noFill/>
                    </a:ln>
                  </pic:spPr>
                </pic:pic>
              </a:graphicData>
            </a:graphic>
          </wp:inline>
        </w:drawing>
      </w:r>
      <w:r>
        <w:rPr>
          <w:rFonts w:ascii="Times New Roman" w:hAnsi="Times New Roman" w:cs="Times New Roman"/>
          <w:sz w:val="20"/>
          <w:szCs w:val="20"/>
        </w:rPr>
        <w:t xml:space="preserve"> (32)</w:t>
      </w: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(в ред. </w:t>
      </w:r>
      <w:hyperlink r:id="rId295"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27.05.2024 N 363/24)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59F224D" wp14:editId="64F39BF1">
            <wp:extent cx="447675" cy="238125"/>
            <wp:effectExtent l="0" t="0" r="9525"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на год i долгосрочного периода регулирования, определяемая с использованием уточненных значений прогнозных параметров регулирования, а также с учетом отклонения фактических значений параметров расчета тарифов от значений, учтенных при установлении тарифов,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0B260B0" wp14:editId="06342E9C">
            <wp:extent cx="342900" cy="23812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операционных расходов на год i долгосрочного периода регулирования, определяемая исходя из актуальных значений параметров расчета тарифов (прогнозных показателей, определенных в </w:t>
      </w:r>
      <w:hyperlink w:anchor="Par126" w:history="1">
        <w:r>
          <w:rPr>
            <w:rFonts w:ascii="Times New Roman" w:hAnsi="Times New Roman" w:cs="Times New Roman"/>
            <w:color w:val="0000FF"/>
            <w:sz w:val="20"/>
            <w:szCs w:val="20"/>
          </w:rPr>
          <w:t>подпункте "в" пункта 16</w:t>
        </w:r>
      </w:hyperlink>
      <w:r>
        <w:rPr>
          <w:rFonts w:ascii="Times New Roman" w:hAnsi="Times New Roman" w:cs="Times New Roman"/>
          <w:sz w:val="20"/>
          <w:szCs w:val="20"/>
        </w:rPr>
        <w:t xml:space="preserve"> настоящих Методических указаний) в соответствии с </w:t>
      </w:r>
      <w:hyperlink w:anchor="Par827" w:history="1">
        <w:r>
          <w:rPr>
            <w:rFonts w:ascii="Times New Roman" w:hAnsi="Times New Roman" w:cs="Times New Roman"/>
            <w:color w:val="0000FF"/>
            <w:sz w:val="20"/>
            <w:szCs w:val="20"/>
          </w:rPr>
          <w:t>формулой (39)</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AECD517" wp14:editId="0AB79299">
            <wp:extent cx="352425" cy="2381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уровня неподконтрольных расходов на год i долгосрочного периода регулирования, определяемая в соответствии с </w:t>
      </w:r>
      <w:hyperlink w:anchor="Par387" w:history="1">
        <w:r>
          <w:rPr>
            <w:rFonts w:ascii="Times New Roman" w:hAnsi="Times New Roman" w:cs="Times New Roman"/>
            <w:color w:val="0000FF"/>
            <w:sz w:val="20"/>
            <w:szCs w:val="20"/>
          </w:rPr>
          <w:t>пунктами 49</w:t>
        </w:r>
      </w:hyperlink>
      <w:r>
        <w:rPr>
          <w:rFonts w:ascii="Times New Roman" w:hAnsi="Times New Roman" w:cs="Times New Roman"/>
          <w:sz w:val="20"/>
          <w:szCs w:val="20"/>
        </w:rPr>
        <w:t xml:space="preserve"> и </w:t>
      </w:r>
      <w:hyperlink w:anchor="Par726" w:history="1">
        <w:r>
          <w:rPr>
            <w:rFonts w:ascii="Times New Roman" w:hAnsi="Times New Roman" w:cs="Times New Roman"/>
            <w:color w:val="0000FF"/>
            <w:sz w:val="20"/>
            <w:szCs w:val="20"/>
          </w:rPr>
          <w:t>88</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F7FB6BF" wp14:editId="21929BF3">
            <wp:extent cx="333375" cy="23812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расходов на приобретение энергетических ресурсов, холодной воды на год i долгосрочного периода регулирования, определяемая в соответствии с </w:t>
      </w:r>
      <w:hyperlink w:anchor="Par829" w:history="1">
        <w:r>
          <w:rPr>
            <w:rFonts w:ascii="Times New Roman" w:hAnsi="Times New Roman" w:cs="Times New Roman"/>
            <w:color w:val="0000FF"/>
            <w:sz w:val="20"/>
            <w:szCs w:val="20"/>
          </w:rPr>
          <w:t>формулой (39.1)</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0757599" wp14:editId="052D2A87">
            <wp:extent cx="342900" cy="23812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нормативной прибыли на год i долгосрочного периода регулирования, определяемая в соответствии с </w:t>
      </w:r>
      <w:hyperlink w:anchor="Par698" w:history="1">
        <w:r>
          <w:rPr>
            <w:rFonts w:ascii="Times New Roman" w:hAnsi="Times New Roman" w:cs="Times New Roman"/>
            <w:color w:val="0000FF"/>
            <w:sz w:val="20"/>
            <w:szCs w:val="20"/>
          </w:rPr>
          <w:t>пунктом 86</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0C53C82" wp14:editId="19AF1B4C">
            <wp:extent cx="257175" cy="23812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амортизации на год i долгосрочного периода регулирования, определяемая в соответствии с </w:t>
      </w:r>
      <w:hyperlink w:anchor="Par207" w:history="1">
        <w:r>
          <w:rPr>
            <w:rFonts w:ascii="Times New Roman" w:hAnsi="Times New Roman" w:cs="Times New Roman"/>
            <w:color w:val="0000FF"/>
            <w:sz w:val="20"/>
            <w:szCs w:val="20"/>
          </w:rPr>
          <w:t>пунктом 28</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DB704CE" wp14:editId="214036A5">
            <wp:extent cx="447675" cy="238125"/>
            <wp:effectExtent l="0" t="0" r="9525"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расчетной предпринимательской прибыли гарантирующей организации на год i долгосрочного периода регулирования, определяемая в соответствии с </w:t>
      </w:r>
      <w:hyperlink w:anchor="Par714" w:history="1">
        <w:r>
          <w:rPr>
            <w:rFonts w:ascii="Times New Roman" w:hAnsi="Times New Roman" w:cs="Times New Roman"/>
            <w:color w:val="0000FF"/>
            <w:sz w:val="20"/>
            <w:szCs w:val="20"/>
          </w:rPr>
          <w:t>пунктом 86(1)</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77D0952" wp14:editId="52DB5D2A">
            <wp:extent cx="342900" cy="23812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возврата инвестированного капитала на год i долгосрочного периода регулирования, определяемая в соответствии с </w:t>
      </w:r>
      <w:hyperlink w:anchor="Par591" w:history="1">
        <w:r>
          <w:rPr>
            <w:rFonts w:ascii="Times New Roman" w:hAnsi="Times New Roman" w:cs="Times New Roman"/>
            <w:color w:val="0000FF"/>
            <w:sz w:val="20"/>
            <w:szCs w:val="20"/>
          </w:rPr>
          <w:t>пунктом 72</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491EDF2" wp14:editId="2D624704">
            <wp:extent cx="342900" cy="23812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величина дохода на инвестированный капитал на год i долгосрочного периода регулирования, определяемая в соответствии с </w:t>
      </w:r>
      <w:hyperlink w:anchor="Par606" w:history="1">
        <w:r>
          <w:rPr>
            <w:rFonts w:ascii="Times New Roman" w:hAnsi="Times New Roman" w:cs="Times New Roman"/>
            <w:color w:val="0000FF"/>
            <w:sz w:val="20"/>
            <w:szCs w:val="20"/>
          </w:rPr>
          <w:t>пунктом 74</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70" w:name="Par754"/>
      <w:bookmarkEnd w:id="70"/>
      <w:r>
        <w:rPr>
          <w:rFonts w:ascii="Times New Roman" w:hAnsi="Times New Roman" w:cs="Times New Roman"/>
          <w:noProof/>
          <w:position w:val="-8"/>
          <w:sz w:val="20"/>
          <w:szCs w:val="20"/>
          <w:lang w:eastAsia="ru-RU"/>
        </w:rPr>
        <w:drawing>
          <wp:inline distT="0" distB="0" distL="0" distR="0" wp14:anchorId="2E4B1FB9" wp14:editId="130CC9B0">
            <wp:extent cx="428625" cy="22860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отклонения показателя ввода объектов системы водоснабжения и (или) водоотведения в эксплуатацию и изменения инвестиционной программы, рассчитанная в соответствии с </w:t>
      </w:r>
      <w:hyperlink w:anchor="Par783" w:history="1">
        <w:r>
          <w:rPr>
            <w:rFonts w:ascii="Times New Roman" w:hAnsi="Times New Roman" w:cs="Times New Roman"/>
            <w:color w:val="0000FF"/>
            <w:sz w:val="20"/>
            <w:szCs w:val="20"/>
          </w:rPr>
          <w:t>формулой (35)</w:t>
        </w:r>
      </w:hyperlink>
      <w:r>
        <w:rPr>
          <w:rFonts w:ascii="Times New Roman" w:hAnsi="Times New Roman" w:cs="Times New Roman"/>
          <w:sz w:val="20"/>
          <w:szCs w:val="20"/>
        </w:rPr>
        <w:t xml:space="preserve"> Методических указаний, тыс. руб. Экономия инвестиционных расходов, соответствующая положениям </w:t>
      </w:r>
      <w:hyperlink r:id="rId306" w:history="1">
        <w:r>
          <w:rPr>
            <w:rFonts w:ascii="Times New Roman" w:hAnsi="Times New Roman" w:cs="Times New Roman"/>
            <w:color w:val="0000FF"/>
            <w:sz w:val="20"/>
            <w:szCs w:val="20"/>
          </w:rPr>
          <w:t>абзацев второго</w:t>
        </w:r>
      </w:hyperlink>
      <w:r>
        <w:rPr>
          <w:rFonts w:ascii="Times New Roman" w:hAnsi="Times New Roman" w:cs="Times New Roman"/>
          <w:sz w:val="20"/>
          <w:szCs w:val="20"/>
        </w:rPr>
        <w:t xml:space="preserve"> - </w:t>
      </w:r>
      <w:hyperlink r:id="rId307" w:history="1">
        <w:r>
          <w:rPr>
            <w:rFonts w:ascii="Times New Roman" w:hAnsi="Times New Roman" w:cs="Times New Roman"/>
            <w:color w:val="0000FF"/>
            <w:sz w:val="20"/>
            <w:szCs w:val="20"/>
          </w:rPr>
          <w:t>четвертого пункта 67</w:t>
        </w:r>
      </w:hyperlink>
      <w:r>
        <w:rPr>
          <w:rFonts w:ascii="Times New Roman" w:hAnsi="Times New Roman" w:cs="Times New Roman"/>
          <w:sz w:val="20"/>
          <w:szCs w:val="20"/>
        </w:rPr>
        <w:t xml:space="preserve"> Основ ценообразования, не уменьшает объем фактического исполнения инвестиционной программы;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30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14.06.2023 N 384/23)</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71" w:name="Par756"/>
      <w:bookmarkEnd w:id="71"/>
      <w:r>
        <w:rPr>
          <w:rFonts w:ascii="Times New Roman" w:hAnsi="Times New Roman" w:cs="Times New Roman"/>
          <w:noProof/>
          <w:position w:val="-8"/>
          <w:sz w:val="20"/>
          <w:szCs w:val="20"/>
          <w:lang w:eastAsia="ru-RU"/>
        </w:rPr>
        <w:drawing>
          <wp:inline distT="0" distB="0" distL="0" distR="0" wp14:anchorId="6CA2115E" wp14:editId="20813857">
            <wp:extent cx="485775" cy="228600"/>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Pr>
          <w:rFonts w:ascii="Times New Roman" w:hAnsi="Times New Roman" w:cs="Times New Roman"/>
          <w:sz w:val="20"/>
          <w:szCs w:val="20"/>
        </w:rPr>
        <w:t xml:space="preserve"> -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 рассчитанная в соответствии с </w:t>
      </w:r>
      <w:hyperlink w:anchor="Par792" w:history="1">
        <w:r>
          <w:rPr>
            <w:rFonts w:ascii="Times New Roman" w:hAnsi="Times New Roman" w:cs="Times New Roman"/>
            <w:color w:val="0000FF"/>
            <w:sz w:val="20"/>
            <w:szCs w:val="20"/>
          </w:rPr>
          <w:t>формулой (36)</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85B1861" wp14:editId="79C3129B">
            <wp:extent cx="609600" cy="23812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Pr>
          <w:rFonts w:ascii="Times New Roman" w:hAnsi="Times New Roman" w:cs="Times New Roman"/>
          <w:sz w:val="20"/>
          <w:szCs w:val="20"/>
        </w:rPr>
        <w:t xml:space="preserve"> - величина изменения необходимой валовой выручки в году i, проводимого в целях сглаживания, определенная при корректировке тарифа на каждый год долгосрочного периода регулирования, где i1 - последний год долгосрочного периода регулирования, i0 - первый год </w:t>
      </w:r>
      <w:r>
        <w:rPr>
          <w:rFonts w:ascii="Times New Roman" w:hAnsi="Times New Roman" w:cs="Times New Roman"/>
          <w:sz w:val="20"/>
          <w:szCs w:val="20"/>
        </w:rPr>
        <w:lastRenderedPageBreak/>
        <w:t xml:space="preserve">долгосрочного периода регулирования, рассчитанная в соответствии с </w:t>
      </w:r>
      <w:hyperlink w:anchor="Par309" w:history="1">
        <w:r>
          <w:rPr>
            <w:rFonts w:ascii="Times New Roman" w:hAnsi="Times New Roman" w:cs="Times New Roman"/>
            <w:color w:val="0000FF"/>
            <w:sz w:val="20"/>
            <w:szCs w:val="20"/>
          </w:rPr>
          <w:t>пунктом 42</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BADCE8D" wp14:editId="65D9D601">
            <wp:extent cx="590550" cy="23812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Pr>
          <w:rFonts w:ascii="Times New Roman" w:hAnsi="Times New Roman" w:cs="Times New Roman"/>
          <w:sz w:val="20"/>
          <w:szCs w:val="20"/>
        </w:rPr>
        <w:t xml:space="preserve"> - размер корректировки необходимой валовой выручки по результатам деятельности прошлых периодов регулирования, а также осуществляемой с целью учета отклонения фактических значений параметров расчета тарифов от значений, учтенных при установлении тарифов, определяемая в соответствии с </w:t>
      </w:r>
      <w:hyperlink w:anchor="Par764" w:history="1">
        <w:r>
          <w:rPr>
            <w:rFonts w:ascii="Times New Roman" w:hAnsi="Times New Roman" w:cs="Times New Roman"/>
            <w:color w:val="0000FF"/>
            <w:sz w:val="20"/>
            <w:szCs w:val="20"/>
          </w:rPr>
          <w:t>формулой (33)</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ПН - средства, начисленные регулируемой организацией в виде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подлежащие исключению из необходимой валовой выручки регулируемой организации в порядке, предусмотренном </w:t>
      </w:r>
      <w:hyperlink r:id="rId312" w:history="1">
        <w:r>
          <w:rPr>
            <w:rFonts w:ascii="Times New Roman" w:hAnsi="Times New Roman" w:cs="Times New Roman"/>
            <w:color w:val="0000FF"/>
            <w:sz w:val="20"/>
            <w:szCs w:val="20"/>
          </w:rPr>
          <w:t>пунктом 26(1)</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313"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27.05.2024 N 363/24)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90 в ред. </w:t>
      </w:r>
      <w:hyperlink r:id="rId31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91.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w:t>
      </w:r>
      <w:hyperlink w:anchor="Par764" w:history="1">
        <w:r>
          <w:rPr>
            <w:rFonts w:ascii="Times New Roman" w:hAnsi="Times New Roman" w:cs="Times New Roman"/>
            <w:color w:val="0000FF"/>
            <w:sz w:val="20"/>
            <w:szCs w:val="20"/>
          </w:rPr>
          <w:t>формуле (33)</w:t>
        </w:r>
      </w:hyperlink>
      <w:r>
        <w:rPr>
          <w:rFonts w:ascii="Times New Roman" w:hAnsi="Times New Roman" w:cs="Times New Roman"/>
          <w:sz w:val="20"/>
          <w:szCs w:val="20"/>
        </w:rPr>
        <w:t xml:space="preserve"> с применением данных за последний расчетный период регулирования, по которому имеются фактические значения.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2" w:name="Par764"/>
      <w:bookmarkEnd w:id="72"/>
      <w:r>
        <w:rPr>
          <w:rFonts w:ascii="Times New Roman" w:hAnsi="Times New Roman" w:cs="Times New Roman"/>
          <w:noProof/>
          <w:position w:val="-8"/>
          <w:sz w:val="20"/>
          <w:szCs w:val="20"/>
          <w:lang w:eastAsia="ru-RU"/>
        </w:rPr>
        <w:drawing>
          <wp:inline distT="0" distB="0" distL="0" distR="0" wp14:anchorId="70F3DBF2" wp14:editId="5649CF38">
            <wp:extent cx="1990725" cy="238125"/>
            <wp:effectExtent l="0" t="0" r="952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1990725"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89F7E5E" wp14:editId="49BFD2FC">
            <wp:extent cx="495300" cy="2381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фактическая величина необходимой валовой выручки 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ar809" w:history="1">
        <w:r>
          <w:rPr>
            <w:rFonts w:ascii="Times New Roman" w:hAnsi="Times New Roman" w:cs="Times New Roman"/>
            <w:color w:val="0000FF"/>
            <w:sz w:val="20"/>
            <w:szCs w:val="20"/>
          </w:rPr>
          <w:t>формулой (38)</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F0DEA88" wp14:editId="33EB4D35">
            <wp:extent cx="371475" cy="23812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rFonts w:ascii="Times New Roman" w:hAnsi="Times New Roman" w:cs="Times New Roman"/>
          <w:sz w:val="20"/>
          <w:szCs w:val="20"/>
        </w:rPr>
        <w:t xml:space="preserve">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и тарифов, установленных в соответствии с главой VII настоящих Методических указаний на (i-2)-й год, без учета уровня собираемости платежей;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если на i-2 год применялся метод экономически обоснованных расходов, то </w:t>
      </w:r>
      <w:r>
        <w:rPr>
          <w:rFonts w:ascii="Times New Roman" w:hAnsi="Times New Roman" w:cs="Times New Roman"/>
          <w:noProof/>
          <w:position w:val="-9"/>
          <w:sz w:val="20"/>
          <w:szCs w:val="20"/>
          <w:lang w:eastAsia="ru-RU"/>
        </w:rPr>
        <w:drawing>
          <wp:inline distT="0" distB="0" distL="0" distR="0" wp14:anchorId="64FDB003" wp14:editId="7356410C">
            <wp:extent cx="590550" cy="2381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Pr>
          <w:rFonts w:ascii="Times New Roman" w:hAnsi="Times New Roman" w:cs="Times New Roman"/>
          <w:sz w:val="20"/>
          <w:szCs w:val="20"/>
        </w:rPr>
        <w:t xml:space="preserve"> определяется по </w:t>
      </w:r>
      <w:hyperlink w:anchor="Par771" w:history="1">
        <w:r>
          <w:rPr>
            <w:rFonts w:ascii="Times New Roman" w:hAnsi="Times New Roman" w:cs="Times New Roman"/>
            <w:color w:val="0000FF"/>
            <w:sz w:val="20"/>
            <w:szCs w:val="20"/>
          </w:rPr>
          <w:t>формуле (33.1)</w:t>
        </w:r>
      </w:hyperlink>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3" w:name="Par771"/>
      <w:bookmarkEnd w:id="73"/>
      <w:r>
        <w:rPr>
          <w:rFonts w:ascii="Times New Roman" w:hAnsi="Times New Roman" w:cs="Times New Roman"/>
          <w:noProof/>
          <w:position w:val="-9"/>
          <w:sz w:val="20"/>
          <w:szCs w:val="20"/>
          <w:lang w:eastAsia="ru-RU"/>
        </w:rPr>
        <w:drawing>
          <wp:inline distT="0" distB="0" distL="0" distR="0" wp14:anchorId="4F0A6105" wp14:editId="5C38D9CD">
            <wp:extent cx="1657350" cy="2381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6573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C087746" wp14:editId="3BD47E30">
            <wp:extent cx="2076450" cy="238125"/>
            <wp:effectExtent l="0" t="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0764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1F9D565" wp14:editId="487C7B5A">
            <wp:extent cx="533400"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определяющая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A95089B" wp14:editId="72780523">
            <wp:extent cx="428625" cy="2381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rFonts w:ascii="Times New Roman" w:hAnsi="Times New Roman" w:cs="Times New Roman"/>
          <w:sz w:val="20"/>
          <w:szCs w:val="20"/>
        </w:rPr>
        <w:t xml:space="preserve"> - экономически обоснованные расходы регулируемой организации, понесенные в периоды регулирования, предшествовавшие переходу к регулированию цен (тарифов) на основе долгосрочных параметров регулирования и не возмещенные регулируемой организации (не учтенные в тарифах), определяемые при i = 1, 2 (за исключением расходов, связанных с реализацией утвержденных инвестиционных программ),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169FFF6" wp14:editId="5A8D37BD">
            <wp:extent cx="419100" cy="23812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Pr>
          <w:rFonts w:ascii="Times New Roman" w:hAnsi="Times New Roman" w:cs="Times New Roman"/>
          <w:sz w:val="20"/>
          <w:szCs w:val="20"/>
        </w:rPr>
        <w:t xml:space="preserve"> -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 определяемые при i = 1, 2 (за исключением доходов, связанных с реализацией утвержденных инвестиционных программ),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91 в ред. </w:t>
      </w:r>
      <w:hyperlink r:id="rId32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91. Утратил силу. - </w:t>
      </w:r>
      <w:hyperlink r:id="rId325" w:history="1">
        <w:r>
          <w:rPr>
            <w:rFonts w:ascii="Times New Roman" w:hAnsi="Times New Roman" w:cs="Times New Roman"/>
            <w:color w:val="0000FF"/>
            <w:sz w:val="20"/>
            <w:szCs w:val="20"/>
          </w:rPr>
          <w:t>Приказ</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74" w:name="Par781"/>
      <w:bookmarkEnd w:id="74"/>
      <w:r>
        <w:rPr>
          <w:rFonts w:ascii="Times New Roman" w:hAnsi="Times New Roman" w:cs="Times New Roman"/>
          <w:sz w:val="20"/>
          <w:szCs w:val="20"/>
        </w:rPr>
        <w:lastRenderedPageBreak/>
        <w:t>92. Величина отклонения показателя ввода объектов системы водоснабжения и (или) водоотведения в эксплуатацию и изменения инвестиционной программы рассчитывается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5" w:name="Par783"/>
      <w:bookmarkEnd w:id="75"/>
      <w:r>
        <w:rPr>
          <w:rFonts w:ascii="Times New Roman" w:hAnsi="Times New Roman" w:cs="Times New Roman"/>
          <w:noProof/>
          <w:position w:val="-26"/>
          <w:sz w:val="20"/>
          <w:szCs w:val="20"/>
          <w:lang w:eastAsia="ru-RU"/>
        </w:rPr>
        <w:drawing>
          <wp:inline distT="0" distB="0" distL="0" distR="0" wp14:anchorId="76A0306A" wp14:editId="7A6E473E">
            <wp:extent cx="2171700" cy="4572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171700" cy="457200"/>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3B015B9" wp14:editId="453E5251">
            <wp:extent cx="390525" cy="23812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Times New Roman" w:hAnsi="Times New Roman" w:cs="Times New Roman"/>
          <w:sz w:val="20"/>
          <w:szCs w:val="20"/>
        </w:rPr>
        <w:t xml:space="preserve"> - объем собственных средств на реализацию инвестиционной программы, учтенный при установлении тарифов на (i-2)-й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2E8CDDD" wp14:editId="382E41FF">
            <wp:extent cx="409575" cy="23812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rFonts w:ascii="Times New Roman" w:hAnsi="Times New Roman" w:cs="Times New Roman"/>
          <w:sz w:val="20"/>
          <w:szCs w:val="20"/>
        </w:rPr>
        <w:t xml:space="preserve"> - объем фактического ввода объектов системы водоснабжения и (или) водоотведения в эксплуатацию и изменения инвестиционной программы в (i-2)-м году по стоимости, определенной в инвестиционной программе на год (i-2),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1A69BA5" wp14:editId="4FADE8C6">
            <wp:extent cx="409575" cy="23812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rFonts w:ascii="Times New Roman" w:hAnsi="Times New Roman" w:cs="Times New Roman"/>
          <w:sz w:val="20"/>
          <w:szCs w:val="20"/>
        </w:rPr>
        <w:t xml:space="preserve"> - плановый размер финансирования инвестиционной программы, утвержденной в установленном порядке на (i-2)-й год, за счет всех источников финансирования, тыс. руб.</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92 в ред. </w:t>
      </w:r>
      <w:hyperlink r:id="rId33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76" w:name="Par790"/>
      <w:bookmarkEnd w:id="76"/>
      <w:r>
        <w:rPr>
          <w:rFonts w:ascii="Times New Roman" w:hAnsi="Times New Roman" w:cs="Times New Roman"/>
          <w:sz w:val="20"/>
          <w:szCs w:val="20"/>
        </w:rPr>
        <w:t xml:space="preserve">93.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 осуществляется в соответствии с Основами ценообразования и определяется на i-год по </w:t>
      </w:r>
      <w:hyperlink w:anchor="Par792" w:history="1">
        <w:r>
          <w:rPr>
            <w:rFonts w:ascii="Times New Roman" w:hAnsi="Times New Roman" w:cs="Times New Roman"/>
            <w:color w:val="0000FF"/>
            <w:sz w:val="20"/>
            <w:szCs w:val="20"/>
          </w:rPr>
          <w:t>формуле (36)</w:t>
        </w:r>
      </w:hyperlink>
      <w:r>
        <w:rPr>
          <w:rFonts w:ascii="Times New Roman" w:hAnsi="Times New Roman" w:cs="Times New Roman"/>
          <w:sz w:val="20"/>
          <w:szCs w:val="20"/>
        </w:rPr>
        <w:t>. Данная величина не может превышать 3% от плановой необходимой валовой выручки, установленной на долгосрочный период регулирования, в абсолютном выражении.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7" w:name="Par792"/>
      <w:bookmarkEnd w:id="77"/>
      <w:r>
        <w:rPr>
          <w:rFonts w:ascii="Times New Roman" w:hAnsi="Times New Roman" w:cs="Times New Roman"/>
          <w:noProof/>
          <w:position w:val="-27"/>
          <w:sz w:val="20"/>
          <w:szCs w:val="20"/>
          <w:lang w:eastAsia="ru-RU"/>
        </w:rPr>
        <w:drawing>
          <wp:inline distT="0" distB="0" distL="0" distR="0" wp14:anchorId="5DC7D9FB" wp14:editId="57025B28">
            <wp:extent cx="4362450" cy="4762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362450" cy="476250"/>
                    </a:xfrm>
                    <a:prstGeom prst="rect">
                      <a:avLst/>
                    </a:prstGeom>
                    <a:noFill/>
                    <a:ln>
                      <a:noFill/>
                    </a:ln>
                  </pic:spPr>
                </pic:pic>
              </a:graphicData>
            </a:graphic>
          </wp:inline>
        </w:drawing>
      </w:r>
      <w:r>
        <w:rPr>
          <w:rFonts w:ascii="Times New Roman" w:hAnsi="Times New Roman" w:cs="Times New Roman"/>
          <w:sz w:val="20"/>
          <w:szCs w:val="20"/>
        </w:rPr>
        <w:t>, (36)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332"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06FF9BB" wp14:editId="32CC3980">
            <wp:extent cx="26670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Pr>
          <w:rFonts w:ascii="Times New Roman" w:hAnsi="Times New Roman" w:cs="Times New Roman"/>
          <w:sz w:val="20"/>
          <w:szCs w:val="20"/>
        </w:rPr>
        <w:t xml:space="preserve"> - агрегированный показатель надежности и качества объектов централизованных систем водоснабжения и (или) водоотведения, рассчитанный в соответствии с </w:t>
      </w:r>
      <w:hyperlink r:id="rId334" w:history="1">
        <w:r>
          <w:rPr>
            <w:rFonts w:ascii="Times New Roman" w:hAnsi="Times New Roman" w:cs="Times New Roman"/>
            <w:color w:val="0000FF"/>
            <w:sz w:val="20"/>
            <w:szCs w:val="20"/>
          </w:rPr>
          <w:t>порядком</w:t>
        </w:r>
      </w:hyperlink>
      <w:r>
        <w:rPr>
          <w:rFonts w:ascii="Times New Roman" w:hAnsi="Times New Roman" w:cs="Times New Roman"/>
          <w:sz w:val="20"/>
          <w:szCs w:val="20"/>
        </w:rPr>
        <w:t xml:space="preserve"> и правилами определения плановых значений и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утвержденными приказом Министерства строительства и жилищно-коммунального хозяйства Российской Федерации от 04.04.2014 N 162/пр (зарегистрирован Минюстом России 23.07.2014, регистрационный N 33236), без учета показателей энергетической эффективности объектов централизованных систем горячего водоснабжения, холодного водоснабжения и (или)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FC6B0AD" wp14:editId="6474BA22">
            <wp:extent cx="419100" cy="23812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Pr>
          <w:rFonts w:ascii="Times New Roman" w:hAnsi="Times New Roman" w:cs="Times New Roman"/>
          <w:sz w:val="20"/>
          <w:szCs w:val="20"/>
        </w:rPr>
        <w:t xml:space="preserve"> - максимальный процент корректировки i-го года, определяемый следующим образом: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2015 года: </w:t>
      </w:r>
      <w:r>
        <w:rPr>
          <w:rFonts w:ascii="Times New Roman" w:hAnsi="Times New Roman" w:cs="Times New Roman"/>
          <w:noProof/>
          <w:position w:val="-8"/>
          <w:sz w:val="20"/>
          <w:szCs w:val="20"/>
          <w:lang w:eastAsia="ru-RU"/>
        </w:rPr>
        <w:drawing>
          <wp:inline distT="0" distB="0" distL="0" distR="0" wp14:anchorId="6D1589A8" wp14:editId="6E4EF408">
            <wp:extent cx="495300" cy="2381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Pr>
          <w:rFonts w:ascii="Times New Roman" w:hAnsi="Times New Roman" w:cs="Times New Roman"/>
          <w:sz w:val="20"/>
          <w:szCs w:val="20"/>
        </w:rPr>
        <w:t xml:space="preserve"> = 1%;</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2016 года: </w:t>
      </w:r>
      <w:r>
        <w:rPr>
          <w:rFonts w:ascii="Times New Roman" w:hAnsi="Times New Roman" w:cs="Times New Roman"/>
          <w:noProof/>
          <w:position w:val="-8"/>
          <w:sz w:val="20"/>
          <w:szCs w:val="20"/>
          <w:lang w:eastAsia="ru-RU"/>
        </w:rPr>
        <w:drawing>
          <wp:inline distT="0" distB="0" distL="0" distR="0" wp14:anchorId="65F4B670" wp14:editId="7807D74D">
            <wp:extent cx="495300" cy="23812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Pr>
          <w:rFonts w:ascii="Times New Roman" w:hAnsi="Times New Roman" w:cs="Times New Roman"/>
          <w:sz w:val="20"/>
          <w:szCs w:val="20"/>
        </w:rPr>
        <w:t xml:space="preserve"> = 1%;</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2017 года: </w:t>
      </w:r>
      <w:r>
        <w:rPr>
          <w:rFonts w:ascii="Times New Roman" w:hAnsi="Times New Roman" w:cs="Times New Roman"/>
          <w:noProof/>
          <w:position w:val="-8"/>
          <w:sz w:val="20"/>
          <w:szCs w:val="20"/>
          <w:lang w:eastAsia="ru-RU"/>
        </w:rPr>
        <w:drawing>
          <wp:inline distT="0" distB="0" distL="0" distR="0" wp14:anchorId="5FDBA566" wp14:editId="086520C9">
            <wp:extent cx="495300" cy="23812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Pr>
          <w:rFonts w:ascii="Times New Roman" w:hAnsi="Times New Roman" w:cs="Times New Roman"/>
          <w:sz w:val="20"/>
          <w:szCs w:val="20"/>
        </w:rPr>
        <w:t xml:space="preserve"> = 2%;</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начиная с 2018 года: </w:t>
      </w:r>
      <w:r>
        <w:rPr>
          <w:rFonts w:ascii="Times New Roman" w:hAnsi="Times New Roman" w:cs="Times New Roman"/>
          <w:noProof/>
          <w:position w:val="-8"/>
          <w:sz w:val="20"/>
          <w:szCs w:val="20"/>
          <w:lang w:eastAsia="ru-RU"/>
        </w:rPr>
        <w:drawing>
          <wp:inline distT="0" distB="0" distL="0" distR="0" wp14:anchorId="2AA7739F" wp14:editId="750B61DE">
            <wp:extent cx="466725" cy="2381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Pr>
          <w:rFonts w:ascii="Times New Roman" w:hAnsi="Times New Roman" w:cs="Times New Roman"/>
          <w:sz w:val="20"/>
          <w:szCs w:val="20"/>
        </w:rPr>
        <w:t xml:space="preserve"> = 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93 в ред. </w:t>
      </w:r>
      <w:hyperlink r:id="rId340"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94. Корректировка необходимой валовой выручки, связанная с изменением доходности долгосрочных государственных обязательств, рассчитывается по следующей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8" w:name="Par805"/>
      <w:bookmarkEnd w:id="78"/>
      <w:r>
        <w:rPr>
          <w:rFonts w:ascii="Times New Roman" w:hAnsi="Times New Roman" w:cs="Times New Roman"/>
          <w:noProof/>
          <w:position w:val="-11"/>
          <w:sz w:val="20"/>
          <w:szCs w:val="20"/>
          <w:lang w:eastAsia="ru-RU"/>
        </w:rPr>
        <w:drawing>
          <wp:inline distT="0" distB="0" distL="0" distR="0" wp14:anchorId="50B669F3" wp14:editId="010B6320">
            <wp:extent cx="2085975" cy="2762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085975" cy="276225"/>
                    </a:xfrm>
                    <a:prstGeom prst="rect">
                      <a:avLst/>
                    </a:prstGeom>
                    <a:noFill/>
                    <a:ln>
                      <a:noFill/>
                    </a:ln>
                  </pic:spPr>
                </pic:pic>
              </a:graphicData>
            </a:graphic>
          </wp:inline>
        </w:drawing>
      </w:r>
      <w:r>
        <w:rPr>
          <w:rFonts w:ascii="Times New Roman" w:hAnsi="Times New Roman" w:cs="Times New Roman"/>
          <w:sz w:val="20"/>
          <w:szCs w:val="20"/>
        </w:rPr>
        <w:t>. (37)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95. Необходимая валовая выручка, определяемая на i-2-й год на основе фактических значений параметров расчета тарифов взамен прогнозных, установленная с применением метода доходности инвестированного капитала (применяется </w:t>
      </w:r>
      <w:hyperlink w:anchor="Par811" w:history="1">
        <w:r>
          <w:rPr>
            <w:rFonts w:ascii="Times New Roman" w:hAnsi="Times New Roman" w:cs="Times New Roman"/>
            <w:color w:val="0000FF"/>
            <w:sz w:val="20"/>
            <w:szCs w:val="20"/>
          </w:rPr>
          <w:t>формула 38.1</w:t>
        </w:r>
      </w:hyperlink>
      <w:r>
        <w:rPr>
          <w:rFonts w:ascii="Times New Roman" w:hAnsi="Times New Roman" w:cs="Times New Roman"/>
          <w:sz w:val="20"/>
          <w:szCs w:val="20"/>
        </w:rPr>
        <w:t xml:space="preserve">) или метода индексации (применяется </w:t>
      </w:r>
      <w:hyperlink w:anchor="Par809" w:history="1">
        <w:r>
          <w:rPr>
            <w:rFonts w:ascii="Times New Roman" w:hAnsi="Times New Roman" w:cs="Times New Roman"/>
            <w:color w:val="0000FF"/>
            <w:sz w:val="20"/>
            <w:szCs w:val="20"/>
          </w:rPr>
          <w:t>формула 38</w:t>
        </w:r>
      </w:hyperlink>
      <w:r>
        <w:rPr>
          <w:rFonts w:ascii="Times New Roman" w:hAnsi="Times New Roman" w:cs="Times New Roman"/>
          <w:sz w:val="20"/>
          <w:szCs w:val="20"/>
        </w:rPr>
        <w:t xml:space="preserve">), рассчитывается с учетом </w:t>
      </w:r>
      <w:hyperlink r:id="rId342" w:history="1">
        <w:r>
          <w:rPr>
            <w:rFonts w:ascii="Times New Roman" w:hAnsi="Times New Roman" w:cs="Times New Roman"/>
            <w:color w:val="0000FF"/>
            <w:sz w:val="20"/>
            <w:szCs w:val="20"/>
          </w:rPr>
          <w:t>пунктов 22</w:t>
        </w:r>
      </w:hyperlink>
      <w:r>
        <w:rPr>
          <w:rFonts w:ascii="Times New Roman" w:hAnsi="Times New Roman" w:cs="Times New Roman"/>
          <w:sz w:val="20"/>
          <w:szCs w:val="20"/>
        </w:rPr>
        <w:t xml:space="preserve"> - </w:t>
      </w:r>
      <w:hyperlink r:id="rId343" w:history="1">
        <w:r>
          <w:rPr>
            <w:rFonts w:ascii="Times New Roman" w:hAnsi="Times New Roman" w:cs="Times New Roman"/>
            <w:color w:val="0000FF"/>
            <w:sz w:val="20"/>
            <w:szCs w:val="20"/>
          </w:rPr>
          <w:t>23</w:t>
        </w:r>
      </w:hyperlink>
      <w:r>
        <w:rPr>
          <w:rFonts w:ascii="Times New Roman" w:hAnsi="Times New Roman" w:cs="Times New Roman"/>
          <w:sz w:val="20"/>
          <w:szCs w:val="20"/>
        </w:rPr>
        <w:t xml:space="preserve"> Основ ценообразования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79" w:name="Par809"/>
      <w:bookmarkEnd w:id="79"/>
      <w:r>
        <w:rPr>
          <w:rFonts w:ascii="Times New Roman" w:hAnsi="Times New Roman" w:cs="Times New Roman"/>
          <w:noProof/>
          <w:position w:val="-8"/>
          <w:sz w:val="20"/>
          <w:szCs w:val="20"/>
          <w:lang w:eastAsia="ru-RU"/>
        </w:rPr>
        <w:lastRenderedPageBreak/>
        <w:drawing>
          <wp:inline distT="0" distB="0" distL="0" distR="0" wp14:anchorId="2CE67FEB" wp14:editId="21C6242E">
            <wp:extent cx="6238875" cy="23812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6238875"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80" w:name="Par811"/>
      <w:bookmarkEnd w:id="80"/>
      <w:r>
        <w:rPr>
          <w:rFonts w:ascii="Times New Roman" w:hAnsi="Times New Roman" w:cs="Times New Roman"/>
          <w:noProof/>
          <w:position w:val="-9"/>
          <w:sz w:val="20"/>
          <w:szCs w:val="20"/>
          <w:lang w:eastAsia="ru-RU"/>
        </w:rPr>
        <w:drawing>
          <wp:inline distT="0" distB="0" distL="0" distR="0" wp14:anchorId="4966B477" wp14:editId="042620D3">
            <wp:extent cx="6134100" cy="2381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13410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5C5E384" wp14:editId="53B626E1">
            <wp:extent cx="371475" cy="23812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rFonts w:ascii="Times New Roman" w:hAnsi="Times New Roman" w:cs="Times New Roman"/>
          <w:sz w:val="20"/>
          <w:szCs w:val="20"/>
        </w:rPr>
        <w:t xml:space="preserve"> - операционные расходы, в i-2 году, определенные исходя из уточненных параметров расчета тарифов (индексов) в соответствии с </w:t>
      </w:r>
      <w:hyperlink w:anchor="Par850" w:history="1">
        <w:r>
          <w:rPr>
            <w:rFonts w:ascii="Times New Roman" w:hAnsi="Times New Roman" w:cs="Times New Roman"/>
            <w:color w:val="0000FF"/>
            <w:sz w:val="20"/>
            <w:szCs w:val="20"/>
          </w:rPr>
          <w:t>формулой (40)</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DFE5D1C" wp14:editId="7246A6B4">
            <wp:extent cx="352425" cy="2381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фактические документально подтвержденные неподконтрольные расходы в (i-2)-м году, определяемые с учетом </w:t>
      </w:r>
      <w:hyperlink w:anchor="Par165" w:history="1">
        <w:r>
          <w:rPr>
            <w:rFonts w:ascii="Times New Roman" w:hAnsi="Times New Roman" w:cs="Times New Roman"/>
            <w:color w:val="0000FF"/>
            <w:sz w:val="20"/>
            <w:szCs w:val="20"/>
          </w:rPr>
          <w:t>пунктов 22</w:t>
        </w:r>
      </w:hyperlink>
      <w:r>
        <w:rPr>
          <w:rFonts w:ascii="Times New Roman" w:hAnsi="Times New Roman" w:cs="Times New Roman"/>
          <w:sz w:val="20"/>
          <w:szCs w:val="20"/>
        </w:rPr>
        <w:t xml:space="preserve">, </w:t>
      </w:r>
      <w:hyperlink w:anchor="Par213" w:history="1">
        <w:r>
          <w:rPr>
            <w:rFonts w:ascii="Times New Roman" w:hAnsi="Times New Roman" w:cs="Times New Roman"/>
            <w:color w:val="0000FF"/>
            <w:sz w:val="20"/>
            <w:szCs w:val="20"/>
          </w:rPr>
          <w:t>29</w:t>
        </w:r>
      </w:hyperlink>
      <w:r>
        <w:rPr>
          <w:rFonts w:ascii="Times New Roman" w:hAnsi="Times New Roman" w:cs="Times New Roman"/>
          <w:sz w:val="20"/>
          <w:szCs w:val="20"/>
        </w:rPr>
        <w:t xml:space="preserve">, </w:t>
      </w:r>
      <w:hyperlink w:anchor="Par387" w:history="1">
        <w:r>
          <w:rPr>
            <w:rFonts w:ascii="Times New Roman" w:hAnsi="Times New Roman" w:cs="Times New Roman"/>
            <w:color w:val="0000FF"/>
            <w:sz w:val="20"/>
            <w:szCs w:val="20"/>
          </w:rPr>
          <w:t>49</w:t>
        </w:r>
      </w:hyperlink>
      <w:r>
        <w:rPr>
          <w:rFonts w:ascii="Times New Roman" w:hAnsi="Times New Roman" w:cs="Times New Roman"/>
          <w:sz w:val="20"/>
          <w:szCs w:val="20"/>
        </w:rPr>
        <w:t xml:space="preserve">, </w:t>
      </w:r>
      <w:hyperlink w:anchor="Par412" w:history="1">
        <w:r>
          <w:rPr>
            <w:rFonts w:ascii="Times New Roman" w:hAnsi="Times New Roman" w:cs="Times New Roman"/>
            <w:color w:val="0000FF"/>
            <w:sz w:val="20"/>
            <w:szCs w:val="20"/>
          </w:rPr>
          <w:t>51</w:t>
        </w:r>
      </w:hyperlink>
      <w:r>
        <w:rPr>
          <w:rFonts w:ascii="Times New Roman" w:hAnsi="Times New Roman" w:cs="Times New Roman"/>
          <w:sz w:val="20"/>
          <w:szCs w:val="20"/>
        </w:rPr>
        <w:t xml:space="preserve"> - </w:t>
      </w:r>
      <w:hyperlink w:anchor="Par493" w:history="1">
        <w:r>
          <w:rPr>
            <w:rFonts w:ascii="Times New Roman" w:hAnsi="Times New Roman" w:cs="Times New Roman"/>
            <w:color w:val="0000FF"/>
            <w:sz w:val="20"/>
            <w:szCs w:val="20"/>
          </w:rPr>
          <w:t>60</w:t>
        </w:r>
      </w:hyperlink>
      <w:r>
        <w:rPr>
          <w:rFonts w:ascii="Times New Roman" w:hAnsi="Times New Roman" w:cs="Times New Roman"/>
          <w:sz w:val="20"/>
          <w:szCs w:val="20"/>
        </w:rPr>
        <w:t xml:space="preserve"> и </w:t>
      </w:r>
      <w:hyperlink w:anchor="Par726" w:history="1">
        <w:r>
          <w:rPr>
            <w:rFonts w:ascii="Times New Roman" w:hAnsi="Times New Roman" w:cs="Times New Roman"/>
            <w:color w:val="0000FF"/>
            <w:sz w:val="20"/>
            <w:szCs w:val="20"/>
          </w:rPr>
          <w:t>88</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B7635B0" wp14:editId="20F662CD">
            <wp:extent cx="333375" cy="23812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rFonts w:ascii="Times New Roman" w:hAnsi="Times New Roman" w:cs="Times New Roman"/>
          <w:sz w:val="20"/>
          <w:szCs w:val="20"/>
        </w:rPr>
        <w:t xml:space="preserve"> - расходы на приобретение энергетических ресурсов, холодной воды в (i-2)-м году, определенные исходя из фактических значений параметров расчета тарифов, рассчитываемые в соответствии с </w:t>
      </w:r>
      <w:hyperlink w:anchor="Par854" w:history="1">
        <w:r>
          <w:rPr>
            <w:rFonts w:ascii="Times New Roman" w:hAnsi="Times New Roman" w:cs="Times New Roman"/>
            <w:color w:val="0000FF"/>
            <w:sz w:val="20"/>
            <w:szCs w:val="20"/>
          </w:rPr>
          <w:t>формулой (40.1)</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7391F5A" wp14:editId="5574811B">
            <wp:extent cx="266700" cy="23812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Pr>
          <w:rFonts w:ascii="Times New Roman" w:hAnsi="Times New Roman" w:cs="Times New Roman"/>
          <w:sz w:val="20"/>
          <w:szCs w:val="20"/>
        </w:rPr>
        <w:t xml:space="preserve"> - расходы на амортизацию в (i-2)-м году, определенные исходя из фактического состава имущества в (i-2)-м году в соответствии с </w:t>
      </w:r>
      <w:hyperlink w:anchor="Par207" w:history="1">
        <w:r>
          <w:rPr>
            <w:rFonts w:ascii="Times New Roman" w:hAnsi="Times New Roman" w:cs="Times New Roman"/>
            <w:color w:val="0000FF"/>
            <w:sz w:val="20"/>
            <w:szCs w:val="20"/>
          </w:rPr>
          <w:t>пунктом 28</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189D899" wp14:editId="50476615">
            <wp:extent cx="38100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Pr>
          <w:rFonts w:ascii="Times New Roman" w:hAnsi="Times New Roman" w:cs="Times New Roman"/>
          <w:sz w:val="20"/>
          <w:szCs w:val="20"/>
        </w:rPr>
        <w:t xml:space="preserve"> - величина нормативной прибыли в (i-2)-м году, определяемая как произведение установленного на (i-2)-й год нормативного уровня прибыли и фактической необходимой валовой выручки регулируемой организации в (i-2)-м году, определенной по </w:t>
      </w:r>
      <w:hyperlink w:anchor="Par809" w:history="1">
        <w:r>
          <w:rPr>
            <w:rFonts w:ascii="Times New Roman" w:hAnsi="Times New Roman" w:cs="Times New Roman"/>
            <w:color w:val="0000FF"/>
            <w:sz w:val="20"/>
            <w:szCs w:val="20"/>
          </w:rPr>
          <w:t>формуле (38)</w:t>
        </w:r>
      </w:hyperlink>
      <w:r>
        <w:rPr>
          <w:rFonts w:ascii="Times New Roman" w:hAnsi="Times New Roman" w:cs="Times New Roman"/>
          <w:sz w:val="20"/>
          <w:szCs w:val="20"/>
        </w:rPr>
        <w:t xml:space="preserve"> Методических указаний, без учета расчетной предпринимательской прибыли гарантирующей организации и налога на прибыль, тыс. руб. При отсутствии утвержденного на (i-2)-й год нормативного уровня прибыли величина нормативной прибыли определяется как сумма фактических расходов, предусмотренных </w:t>
      </w:r>
      <w:hyperlink r:id="rId351" w:history="1">
        <w:r>
          <w:rPr>
            <w:rFonts w:ascii="Times New Roman" w:hAnsi="Times New Roman" w:cs="Times New Roman"/>
            <w:color w:val="0000FF"/>
            <w:sz w:val="20"/>
            <w:szCs w:val="20"/>
          </w:rPr>
          <w:t>подпунктом "в" пункта 78</w:t>
        </w:r>
      </w:hyperlink>
      <w:r>
        <w:rPr>
          <w:rFonts w:ascii="Times New Roman" w:hAnsi="Times New Roman" w:cs="Times New Roman"/>
          <w:sz w:val="20"/>
          <w:szCs w:val="20"/>
        </w:rPr>
        <w:t xml:space="preserve"> Основ ценообразования, и учтенных при установлении тарифов расходов, предусмотренных </w:t>
      </w:r>
      <w:hyperlink r:id="rId352" w:history="1">
        <w:r>
          <w:rPr>
            <w:rFonts w:ascii="Times New Roman" w:hAnsi="Times New Roman" w:cs="Times New Roman"/>
            <w:color w:val="0000FF"/>
            <w:sz w:val="20"/>
            <w:szCs w:val="20"/>
          </w:rPr>
          <w:t>подпунктами "а"</w:t>
        </w:r>
      </w:hyperlink>
      <w:r>
        <w:rPr>
          <w:rFonts w:ascii="Times New Roman" w:hAnsi="Times New Roman" w:cs="Times New Roman"/>
          <w:sz w:val="20"/>
          <w:szCs w:val="20"/>
        </w:rPr>
        <w:t xml:space="preserve">, </w:t>
      </w:r>
      <w:hyperlink r:id="rId353" w:history="1">
        <w:r>
          <w:rPr>
            <w:rFonts w:ascii="Times New Roman" w:hAnsi="Times New Roman" w:cs="Times New Roman"/>
            <w:color w:val="0000FF"/>
            <w:sz w:val="20"/>
            <w:szCs w:val="20"/>
          </w:rPr>
          <w:t>"б" пункта 78</w:t>
        </w:r>
      </w:hyperlink>
      <w:r>
        <w:rPr>
          <w:rFonts w:ascii="Times New Roman" w:hAnsi="Times New Roman" w:cs="Times New Roman"/>
          <w:sz w:val="20"/>
          <w:szCs w:val="20"/>
        </w:rPr>
        <w:t xml:space="preserve"> Основ ценообразования;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35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14.06.2023 N 384/23)</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E24213F" wp14:editId="2B1C6420">
            <wp:extent cx="409575" cy="23812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rFonts w:ascii="Times New Roman" w:hAnsi="Times New Roman" w:cs="Times New Roman"/>
          <w:sz w:val="20"/>
          <w:szCs w:val="20"/>
        </w:rPr>
        <w:t xml:space="preserve"> - расчетная предпринимательская прибыль гарантирующей организации в (i-2)-м году, определяемая в соответствии с </w:t>
      </w:r>
      <w:hyperlink w:anchor="Par714" w:history="1">
        <w:r>
          <w:rPr>
            <w:rFonts w:ascii="Times New Roman" w:hAnsi="Times New Roman" w:cs="Times New Roman"/>
            <w:color w:val="0000FF"/>
            <w:sz w:val="20"/>
            <w:szCs w:val="20"/>
          </w:rPr>
          <w:t>пунктом 86(1)</w:t>
        </w:r>
      </w:hyperlink>
      <w:r>
        <w:rPr>
          <w:rFonts w:ascii="Times New Roman" w:hAnsi="Times New Roman" w:cs="Times New Roman"/>
          <w:sz w:val="20"/>
          <w:szCs w:val="20"/>
        </w:rPr>
        <w:t xml:space="preserve"> настоящих Методических указаний исходя из скорректированных расходов,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B39EB39" wp14:editId="7801F479">
            <wp:extent cx="390525" cy="23812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фактический возврат инвестированного капитала в (i-2)-м году, определяемый в соответствии с </w:t>
      </w:r>
      <w:hyperlink w:anchor="Par591" w:history="1">
        <w:r>
          <w:rPr>
            <w:rFonts w:ascii="Times New Roman" w:hAnsi="Times New Roman" w:cs="Times New Roman"/>
            <w:color w:val="0000FF"/>
            <w:sz w:val="20"/>
            <w:szCs w:val="20"/>
          </w:rPr>
          <w:t>пунктом 72</w:t>
        </w:r>
      </w:hyperlink>
      <w:r>
        <w:rPr>
          <w:rFonts w:ascii="Times New Roman" w:hAnsi="Times New Roman" w:cs="Times New Roman"/>
          <w:sz w:val="20"/>
          <w:szCs w:val="20"/>
        </w:rPr>
        <w:t xml:space="preserve"> настоящих Методических указаний с использованием значений полной величины инвестированного капитала, рассчитанной с учетом фактических значений доходности долгосрочных государственных обязательств,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7E0CAF14" wp14:editId="47A58C79">
            <wp:extent cx="371475" cy="2571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фактический доход на инвестированный капитал в (i-2)-м году, определяемый в соответствии с </w:t>
      </w:r>
      <w:hyperlink w:anchor="Par606" w:history="1">
        <w:r>
          <w:rPr>
            <w:rFonts w:ascii="Times New Roman" w:hAnsi="Times New Roman" w:cs="Times New Roman"/>
            <w:color w:val="0000FF"/>
            <w:sz w:val="20"/>
            <w:szCs w:val="20"/>
          </w:rPr>
          <w:t>пунктом 74</w:t>
        </w:r>
      </w:hyperlink>
      <w:r>
        <w:rPr>
          <w:rFonts w:ascii="Times New Roman" w:hAnsi="Times New Roman" w:cs="Times New Roman"/>
          <w:sz w:val="20"/>
          <w:szCs w:val="20"/>
        </w:rPr>
        <w:t xml:space="preserve"> настоящих Методических указаний с использованием значений базы инвестированного капитала, рассчитанной с учетом фактических значений доходности долгосрочных государственных обязательств, и нормативной величины чистого оборотного капитала,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50AE1B0" wp14:editId="7D80EDB5">
            <wp:extent cx="53340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Pr>
          <w:rFonts w:ascii="Times New Roman" w:hAnsi="Times New Roman" w:cs="Times New Roman"/>
          <w:sz w:val="20"/>
          <w:szCs w:val="20"/>
        </w:rPr>
        <w:t xml:space="preserve"> - корректировка необходимой валовой выручки на год i долгосрочного периода регулирования, связанная с изменением доходности долгосрочных государственных обязательств, рассчитанная в соответствии с </w:t>
      </w:r>
      <w:hyperlink w:anchor="Par805" w:history="1">
        <w:r>
          <w:rPr>
            <w:rFonts w:ascii="Times New Roman" w:hAnsi="Times New Roman" w:cs="Times New Roman"/>
            <w:color w:val="0000FF"/>
            <w:sz w:val="20"/>
            <w:szCs w:val="20"/>
          </w:rPr>
          <w:t>формулой (37)</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62C319D" wp14:editId="78782D6C">
            <wp:extent cx="352425" cy="2286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8"/>
          <w:sz w:val="20"/>
          <w:szCs w:val="20"/>
          <w:lang w:eastAsia="ru-RU"/>
        </w:rPr>
        <w:drawing>
          <wp:inline distT="0" distB="0" distL="0" distR="0" wp14:anchorId="35737CD3" wp14:editId="2A887668">
            <wp:extent cx="51435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14350" cy="2286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8"/>
          <w:sz w:val="20"/>
          <w:szCs w:val="20"/>
          <w:lang w:eastAsia="ru-RU"/>
        </w:rPr>
        <w:drawing>
          <wp:inline distT="0" distB="0" distL="0" distR="0" wp14:anchorId="50333FC2" wp14:editId="5921D65C">
            <wp:extent cx="552450" cy="2381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52450" cy="238125"/>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position w:val="-9"/>
          <w:sz w:val="20"/>
          <w:szCs w:val="20"/>
          <w:lang w:eastAsia="ru-RU"/>
        </w:rPr>
        <w:drawing>
          <wp:inline distT="0" distB="0" distL="0" distR="0" wp14:anchorId="02295BF2" wp14:editId="07B90233">
            <wp:extent cx="552450" cy="2381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52450" cy="238125"/>
                    </a:xfrm>
                    <a:prstGeom prst="rect">
                      <a:avLst/>
                    </a:prstGeom>
                    <a:noFill/>
                    <a:ln>
                      <a:noFill/>
                    </a:ln>
                  </pic:spPr>
                </pic:pic>
              </a:graphicData>
            </a:graphic>
          </wp:inline>
        </w:drawing>
      </w:r>
      <w:r>
        <w:rPr>
          <w:rFonts w:ascii="Times New Roman" w:hAnsi="Times New Roman" w:cs="Times New Roman"/>
          <w:sz w:val="20"/>
          <w:szCs w:val="20"/>
        </w:rPr>
        <w:t xml:space="preserve"> - показатели, утвержденные и учтенные органом регулирования в i-2 году,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Операционные расходы и расходы на приобретение энергетических</w:t>
      </w: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81" w:name="Par827"/>
      <w:bookmarkEnd w:id="81"/>
      <w:r>
        <w:rPr>
          <w:rFonts w:ascii="Times New Roman" w:hAnsi="Times New Roman" w:cs="Times New Roman"/>
          <w:noProof/>
          <w:position w:val="-26"/>
          <w:sz w:val="20"/>
          <w:szCs w:val="20"/>
          <w:lang w:eastAsia="ru-RU"/>
        </w:rPr>
        <w:drawing>
          <wp:inline distT="0" distB="0" distL="0" distR="0" wp14:anchorId="5F96033E" wp14:editId="19075282">
            <wp:extent cx="4514850" cy="4572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4514850" cy="457200"/>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82" w:name="Par829"/>
      <w:bookmarkEnd w:id="82"/>
      <w:r>
        <w:rPr>
          <w:rFonts w:ascii="Times New Roman" w:hAnsi="Times New Roman" w:cs="Times New Roman"/>
          <w:noProof/>
          <w:position w:val="-8"/>
          <w:sz w:val="20"/>
          <w:szCs w:val="20"/>
          <w:lang w:eastAsia="ru-RU"/>
        </w:rPr>
        <w:drawing>
          <wp:inline distT="0" distB="0" distL="0" distR="0" wp14:anchorId="48F50C7C" wp14:editId="7BECC0EB">
            <wp:extent cx="1647825" cy="2381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647825"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ресурсов, скорректированные или определяемые на основе фактических значений параметров расчета тарифов взамен прогнозных, фактическая суммарная экономия от снижения операционных расходов и от снижения потребления энергетических ресурсов, холодной воды и теплоносителя определяются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4B1E956" wp14:editId="78516CB8">
            <wp:extent cx="2190750" cy="2381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21907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1"/>
          <w:sz w:val="20"/>
          <w:szCs w:val="20"/>
          <w:lang w:eastAsia="ru-RU"/>
        </w:rPr>
        <w:drawing>
          <wp:inline distT="0" distB="0" distL="0" distR="0" wp14:anchorId="66C4BEEF" wp14:editId="24DDCCD7">
            <wp:extent cx="1885950" cy="2667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885950" cy="266700"/>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i0 - первый год текущего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C080ACD" wp14:editId="0B934B3E">
            <wp:extent cx="342900" cy="2381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операционные расходы, определенные на i-й год исходя из плановых и уточненных параметров расчета тарифов,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w:t>
      </w:r>
      <w:r>
        <w:rPr>
          <w:rFonts w:ascii="Times New Roman" w:hAnsi="Times New Roman" w:cs="Times New Roman"/>
          <w:sz w:val="20"/>
          <w:szCs w:val="20"/>
          <w:vertAlign w:val="subscript"/>
        </w:rPr>
        <w:t>i0</w:t>
      </w:r>
      <w:r>
        <w:rPr>
          <w:rFonts w:ascii="Times New Roman" w:hAnsi="Times New Roman" w:cs="Times New Roman"/>
          <w:sz w:val="20"/>
          <w:szCs w:val="20"/>
        </w:rPr>
        <w:t xml:space="preserve"> - базовый уровень операционных расходов, установленный на долгосрочный период регулирования в соответствии с </w:t>
      </w:r>
      <w:hyperlink w:anchor="Par352" w:history="1">
        <w:r>
          <w:rPr>
            <w:rFonts w:ascii="Times New Roman" w:hAnsi="Times New Roman" w:cs="Times New Roman"/>
            <w:color w:val="0000FF"/>
            <w:sz w:val="20"/>
            <w:szCs w:val="20"/>
          </w:rPr>
          <w:t>пунктом 45</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ИЭР - индекс эффективности операционных расходов, установленный на j-й год и выраженный в процентах;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2CBA4B3D" wp14:editId="01E5221B">
            <wp:extent cx="485775" cy="25717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скорректированный прогнозный индекс изменения потребительских цен в j-м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4E5A0919" wp14:editId="6F1BF320">
            <wp:extent cx="466725" cy="2571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скорректированный прогнозный индекс изменения количества активов в j-м году, рассчитываемый в соответствии с </w:t>
      </w:r>
      <w:hyperlink w:anchor="Par368" w:history="1">
        <w:r>
          <w:rPr>
            <w:rFonts w:ascii="Times New Roman" w:hAnsi="Times New Roman" w:cs="Times New Roman"/>
            <w:color w:val="0000FF"/>
            <w:sz w:val="20"/>
            <w:szCs w:val="20"/>
          </w:rPr>
          <w:t>формулой 8.1</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E4B0AD0" wp14:editId="3FEA8E87">
            <wp:extent cx="381000" cy="23812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rFonts w:ascii="Times New Roman" w:hAnsi="Times New Roman" w:cs="Times New Roman"/>
          <w:sz w:val="20"/>
          <w:szCs w:val="20"/>
        </w:rPr>
        <w:t xml:space="preserve"> - удельное потребление электрической энергии в i-м году, установленное на соответствующий год, тыс. кВтч/куб.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46A9707" wp14:editId="2830B40C">
            <wp:extent cx="257175" cy="2381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скорректированный объем поданной воды (принятых сточных вод) в i-м году, тыс.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F77F54A" wp14:editId="680A1C47">
            <wp:extent cx="352425" cy="23812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цена на электрическую энергию, определяемая в i-м году, руб./кВт час;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66EBCE7F" wp14:editId="7F5DBDE4">
            <wp:extent cx="238125" cy="2571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скорректированный объем потребления z-го энергетического ресурса (за исключением электрической энергии), холодной воды, теплоносителя в i-м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4A4AD946" wp14:editId="347E3F9A">
            <wp:extent cx="352425" cy="2571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Pr>
          <w:rFonts w:ascii="Times New Roman" w:hAnsi="Times New Roman" w:cs="Times New Roman"/>
          <w:sz w:val="20"/>
          <w:szCs w:val="20"/>
        </w:rPr>
        <w:t xml:space="preserve"> - скорректированная стоимость покупки единицы z-го энергетического ресурса (за исключением электрической энергии), холодной воды, теплоносителя 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83" w:name="Par850"/>
      <w:bookmarkEnd w:id="83"/>
      <w:r>
        <w:rPr>
          <w:rFonts w:ascii="Times New Roman" w:hAnsi="Times New Roman" w:cs="Times New Roman"/>
          <w:noProof/>
          <w:position w:val="-26"/>
          <w:sz w:val="20"/>
          <w:szCs w:val="20"/>
          <w:lang w:eastAsia="ru-RU"/>
        </w:rPr>
        <w:drawing>
          <wp:inline distT="0" distB="0" distL="0" distR="0" wp14:anchorId="6A5AC35F" wp14:editId="3705F7D7">
            <wp:extent cx="4495800" cy="4572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495800" cy="457200"/>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i-м году;</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84" w:name="Par854"/>
      <w:bookmarkEnd w:id="84"/>
      <w:r>
        <w:rPr>
          <w:rFonts w:ascii="Times New Roman" w:hAnsi="Times New Roman" w:cs="Times New Roman"/>
          <w:noProof/>
          <w:position w:val="-9"/>
          <w:sz w:val="20"/>
          <w:szCs w:val="20"/>
          <w:lang w:eastAsia="ru-RU"/>
        </w:rPr>
        <w:drawing>
          <wp:inline distT="0" distB="0" distL="0" distR="0" wp14:anchorId="7B01D542" wp14:editId="105F433C">
            <wp:extent cx="1771650" cy="23812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7716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1A30AD2" wp14:editId="56E2F2B4">
            <wp:extent cx="2476500" cy="2381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247650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1"/>
          <w:sz w:val="20"/>
          <w:szCs w:val="20"/>
          <w:lang w:eastAsia="ru-RU"/>
        </w:rPr>
        <w:drawing>
          <wp:inline distT="0" distB="0" distL="0" distR="0" wp14:anchorId="5B85CA1E" wp14:editId="36A7BBDD">
            <wp:extent cx="2076450" cy="2667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076450" cy="266700"/>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5BDED464" wp14:editId="0E86E8A2">
            <wp:extent cx="3848100" cy="2571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848100" cy="25717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;i0 - первый год текущего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8973C55" wp14:editId="0CF26C89">
            <wp:extent cx="342900" cy="2381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rFonts w:ascii="Times New Roman" w:hAnsi="Times New Roman" w:cs="Times New Roman"/>
          <w:sz w:val="20"/>
          <w:szCs w:val="20"/>
        </w:rPr>
        <w:t xml:space="preserve"> - операционные расходы, определенные на (i-2)-й год исходя из фактических значений параметров расчета тарифов,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lastRenderedPageBreak/>
        <w:drawing>
          <wp:inline distT="0" distB="0" distL="0" distR="0" wp14:anchorId="4B3A8D93" wp14:editId="20561706">
            <wp:extent cx="314325" cy="22860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Pr>
          <w:rFonts w:ascii="Times New Roman" w:hAnsi="Times New Roman" w:cs="Times New Roman"/>
          <w:sz w:val="20"/>
          <w:szCs w:val="20"/>
        </w:rPr>
        <w:t xml:space="preserve"> - базовый уровень операционных расходов, установленный на долгосрочный период регулирования в соответствии с </w:t>
      </w:r>
      <w:hyperlink w:anchor="Par352" w:history="1">
        <w:r>
          <w:rPr>
            <w:rFonts w:ascii="Times New Roman" w:hAnsi="Times New Roman" w:cs="Times New Roman"/>
            <w:color w:val="0000FF"/>
            <w:sz w:val="20"/>
            <w:szCs w:val="20"/>
          </w:rPr>
          <w:t>пунктом 45</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1BDF3C2" wp14:editId="0F3D2442">
            <wp:extent cx="390525" cy="2381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Times New Roman" w:hAnsi="Times New Roman" w:cs="Times New Roman"/>
          <w:sz w:val="20"/>
          <w:szCs w:val="20"/>
        </w:rPr>
        <w:t xml:space="preserve"> - индекс эффективности операционных расходов, установленный на j-й год и выраженный в процентах;</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37A4B618" wp14:editId="44EA8073">
            <wp:extent cx="447675" cy="2571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фактический индекс изменения потребительских цен в j-м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734E8B6C" wp14:editId="2747B1A9">
            <wp:extent cx="428625" cy="2571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фактический индекс изменения количества активов в (j)-м году, рассчитываемый в соответствии с </w:t>
      </w:r>
      <w:hyperlink w:anchor="Par368" w:history="1">
        <w:r>
          <w:rPr>
            <w:rFonts w:ascii="Times New Roman" w:hAnsi="Times New Roman" w:cs="Times New Roman"/>
            <w:color w:val="0000FF"/>
            <w:sz w:val="20"/>
            <w:szCs w:val="20"/>
          </w:rPr>
          <w:t>формулой 8.1</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4776AF4" wp14:editId="744EBBD9">
            <wp:extent cx="371475" cy="2381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Pr>
          <w:rFonts w:ascii="Times New Roman" w:hAnsi="Times New Roman" w:cs="Times New Roman"/>
          <w:sz w:val="20"/>
          <w:szCs w:val="20"/>
        </w:rPr>
        <w:t xml:space="preserve"> - расходы на электрическую энергию, определенные на (i-2)-й год исходя из фактических значений параметров расчета тарифов,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B89704B" wp14:editId="32A5957C">
            <wp:extent cx="381000" cy="23812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rFonts w:ascii="Times New Roman" w:hAnsi="Times New Roman" w:cs="Times New Roman"/>
          <w:sz w:val="20"/>
          <w:szCs w:val="20"/>
        </w:rPr>
        <w:t xml:space="preserve"> - удельное потребление электрической энергии в (i-2)-м году, установленное на соответствующий год, тыс. кВтч/куб.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5647E48" wp14:editId="4B4D4787">
            <wp:extent cx="266700" cy="238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фактический объем поданной воды (принятых сточных вод) в i-2 году, тыс.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EBDE8CC" wp14:editId="0698C363">
            <wp:extent cx="533400" cy="2381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33400"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фактическая (расчетная) цена на электрическую энергию, определяемая в i-2 году, руб./кВт час;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D8C6862" wp14:editId="7E8D5303">
            <wp:extent cx="352425" cy="2381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rFonts w:ascii="Times New Roman" w:hAnsi="Times New Roman" w:cs="Times New Roman"/>
          <w:sz w:val="20"/>
          <w:szCs w:val="20"/>
        </w:rPr>
        <w:t xml:space="preserve"> расходы на энергетические ресурсы (за исключением электрической энергии), холодной воды, теплоносителя, определенные на (i-2)-й год исходя из фактических значений параметров расчета тарифов,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0EB68B03" wp14:editId="0BFF9B61">
            <wp:extent cx="314325" cy="2571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фактический объем потребления z-го энергетического ресурса (за исключением электрической энергии), холодной воды, теплоносителя) в i-2 году;</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67F88EEF" wp14:editId="45905797">
            <wp:extent cx="447675" cy="2571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Pr>
          <w:rFonts w:ascii="Times New Roman" w:hAnsi="Times New Roman" w:cs="Times New Roman"/>
          <w:sz w:val="20"/>
          <w:szCs w:val="20"/>
        </w:rPr>
        <w:t xml:space="preserve"> - фактическая стоимость покупки единицы z-го энергетического ресурса (за исключением электрической энергии), холодной воды, теплоносителя) в i-2 году;</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абз. 53 п. 95 вносятся изменения (</w:t>
            </w:r>
            <w:hyperlink r:id="rId392"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D7D23DB" wp14:editId="54D566E4">
            <wp:extent cx="352425" cy="2381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rFonts w:ascii="Times New Roman" w:hAnsi="Times New Roman" w:cs="Times New Roman"/>
          <w:sz w:val="20"/>
          <w:szCs w:val="20"/>
        </w:rPr>
        <w:t xml:space="preserve"> - фактическая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и включаемая в состав неподконтрольных расходов в i-м году при i = [1; 5], тыс. руб.;</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абз. 54 п. 95 вносятся изменения (</w:t>
            </w:r>
            <w:hyperlink r:id="rId394"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19D92CF8" wp14:editId="3B9EEE66">
            <wp:extent cx="352425" cy="2286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Pr>
          <w:rFonts w:ascii="Times New Roman" w:hAnsi="Times New Roman" w:cs="Times New Roman"/>
          <w:sz w:val="20"/>
          <w:szCs w:val="20"/>
        </w:rPr>
        <w:t xml:space="preserve"> -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учтенная органом регулирования при установлении тарифов на год (i-2) в составе неподконтрольных расходов в (i-2)-м году при i = [1; 5], рассчитанная в соответствии с </w:t>
      </w:r>
      <w:hyperlink w:anchor="Par437" w:history="1">
        <w:r>
          <w:rPr>
            <w:rFonts w:ascii="Times New Roman" w:hAnsi="Times New Roman" w:cs="Times New Roman"/>
            <w:color w:val="0000FF"/>
            <w:sz w:val="20"/>
            <w:szCs w:val="20"/>
          </w:rPr>
          <w:t>пунктом 56</w:t>
        </w:r>
      </w:hyperlink>
      <w:r>
        <w:rPr>
          <w:rFonts w:ascii="Times New Roman" w:hAnsi="Times New Roman" w:cs="Times New Roman"/>
          <w:sz w:val="20"/>
          <w:szCs w:val="20"/>
        </w:rPr>
        <w:t xml:space="preserve"> настоящих Методических указаний,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определении фактических расходов учитываются расходы на приобретение электрической энергии (мощности) в объеме, определенном исходя из удельных расходов на электрическую энергию в расчете на общий объем воды, в отношении которой, осуществляется водоподготовка, и (или) на общий объем транспортируемой питьевой воды (общий объем сточных вод, подвергающихся очистке, и (или) общий объем транспортируемых сточных вод), и объема используемой мощности, а также исходя из фактических цен (тарифов) на электрическую энергию (мощность).</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(абзац введен </w:t>
      </w:r>
      <w:hyperlink r:id="rId396"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95 в ред. </w:t>
      </w:r>
      <w:hyperlink r:id="rId397"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1"/>
        <w:rPr>
          <w:rFonts w:ascii="Times New Roman" w:hAnsi="Times New Roman" w:cs="Times New Roman"/>
          <w:b/>
          <w:bCs/>
          <w:sz w:val="20"/>
          <w:szCs w:val="20"/>
        </w:rPr>
      </w:pPr>
      <w:bookmarkStart w:id="85" w:name="Par886"/>
      <w:bookmarkEnd w:id="85"/>
      <w:r>
        <w:rPr>
          <w:rFonts w:ascii="Times New Roman" w:hAnsi="Times New Roman" w:cs="Times New Roman"/>
          <w:b/>
          <w:bCs/>
          <w:sz w:val="20"/>
          <w:szCs w:val="20"/>
        </w:rPr>
        <w:t>VIII. Расчет одноставочных тарифов в сфере водоснабжения</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96. Тарифы регулируемых организаций на питьевую воду (питьевое водоснабжение), техническую воду, транспортировку холодной воды, водоотведение, без дифференциации в виде одноставочных тарифов рассчитываются в соответствии с формулой: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5B2CA3C2" wp14:editId="5A93281C">
            <wp:extent cx="685800" cy="4191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noFill/>
                    </a:ln>
                  </pic:spPr>
                </pic:pic>
              </a:graphicData>
            </a:graphic>
          </wp:inline>
        </w:drawing>
      </w:r>
      <w:r>
        <w:rPr>
          <w:rFonts w:ascii="Times New Roman" w:hAnsi="Times New Roman" w:cs="Times New Roman"/>
          <w:sz w:val="20"/>
          <w:szCs w:val="20"/>
        </w:rPr>
        <w:t>, (42)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7"/>
          <w:sz w:val="20"/>
          <w:szCs w:val="20"/>
          <w:lang w:eastAsia="ru-RU"/>
        </w:rPr>
        <w:drawing>
          <wp:inline distT="0" distB="0" distL="0" distR="0" wp14:anchorId="5A76A3D2" wp14:editId="14778D7A">
            <wp:extent cx="180975" cy="2286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cs="Times New Roman"/>
          <w:sz w:val="20"/>
          <w:szCs w:val="20"/>
        </w:rPr>
        <w:t xml:space="preserve"> - тариф регулируемой организации, устанавливаемый на i-ый год,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497B4129" wp14:editId="187F9272">
            <wp:extent cx="409575" cy="2286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регулируемой организации, относящаяся на соответствующий регулируемый вид деятельности, рассчитанная на i-ый год,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121DD01" wp14:editId="3B28550B">
            <wp:extent cx="19050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объем отпускаемой i-той регулируемой организацией воды (принимаемых сточных вод) абонентам и другим регулируемым организациям, куб. 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bookmarkStart w:id="86" w:name="Par898"/>
      <w:bookmarkEnd w:id="86"/>
      <w:r>
        <w:rPr>
          <w:rFonts w:ascii="Times New Roman" w:hAnsi="Times New Roman" w:cs="Times New Roman"/>
          <w:b/>
          <w:bCs/>
          <w:sz w:val="20"/>
          <w:szCs w:val="20"/>
        </w:rPr>
        <w:t>VIII.I. Расчет двухставочных и многоставочных тарифов</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 сфере водоснабжения и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97. Тарифы регулируемых организаций на питьевую воду (питьевое водоснабжение), техническую воду, транспортировку холодной воды, водоотведение и транспортировку сточных вод рассчитываются в виде двухставочных тарифов в соответствии с формулами: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6"/>
          <w:sz w:val="20"/>
          <w:szCs w:val="20"/>
          <w:lang w:eastAsia="ru-RU"/>
        </w:rPr>
        <w:drawing>
          <wp:inline distT="0" distB="0" distL="0" distR="0" wp14:anchorId="15534D35" wp14:editId="37C5A54C">
            <wp:extent cx="914400" cy="4572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Pr>
          <w:rFonts w:ascii="Times New Roman" w:hAnsi="Times New Roman" w:cs="Times New Roman"/>
          <w:sz w:val="20"/>
          <w:szCs w:val="20"/>
        </w:rPr>
        <w:t>, (43)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6"/>
          <w:sz w:val="20"/>
          <w:szCs w:val="20"/>
          <w:lang w:eastAsia="ru-RU"/>
        </w:rPr>
        <w:drawing>
          <wp:inline distT="0" distB="0" distL="0" distR="0" wp14:anchorId="3463338B" wp14:editId="5CBD3AA7">
            <wp:extent cx="971550" cy="4572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971550" cy="457200"/>
                    </a:xfrm>
                    <a:prstGeom prst="rect">
                      <a:avLst/>
                    </a:prstGeom>
                    <a:noFill/>
                    <a:ln>
                      <a:noFill/>
                    </a:ln>
                  </pic:spPr>
                </pic:pic>
              </a:graphicData>
            </a:graphic>
          </wp:inline>
        </w:drawing>
      </w:r>
      <w:r>
        <w:rPr>
          <w:rFonts w:ascii="Times New Roman" w:hAnsi="Times New Roman" w:cs="Times New Roman"/>
          <w:sz w:val="20"/>
          <w:szCs w:val="20"/>
        </w:rPr>
        <w:t>, (43.1)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2800CBB" wp14:editId="657549A2">
            <wp:extent cx="276225" cy="2571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Pr>
          <w:rFonts w:ascii="Times New Roman" w:hAnsi="Times New Roman" w:cs="Times New Roman"/>
          <w:sz w:val="20"/>
          <w:szCs w:val="20"/>
        </w:rPr>
        <w:t xml:space="preserve"> - ставка платы за объем поданной воды или принятых сточных вод соответственно, рассчитанная на i-ый год,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F96B4AD" wp14:editId="339E2F1C">
            <wp:extent cx="314325" cy="2571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Pr>
          <w:rFonts w:ascii="Times New Roman" w:hAnsi="Times New Roman" w:cs="Times New Roman"/>
          <w:sz w:val="20"/>
          <w:szCs w:val="20"/>
        </w:rPr>
        <w:t xml:space="preserve"> - ставка платы за содержание мощности, рассчитанная на i-ый год, руб./куб. м в час;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6820BFA" wp14:editId="5612689C">
            <wp:extent cx="504825" cy="25717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регулируемой организации в части условно переменных расходов, рассчитанная на i-ый год,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1B440D01" wp14:editId="1CB39B29">
            <wp:extent cx="533400" cy="2571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регулируемой организации в части условно постоянных расходов, рассчитанная на i-ый год,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154256C" wp14:editId="042C7C8D">
            <wp:extent cx="19050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объем отпускаемой i-той регулируемой организацией воды (принимаемых сточных вод) абонентам и другим регулируемым организациям, 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9B2D84F" wp14:editId="1D211330">
            <wp:extent cx="22860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z w:val="20"/>
          <w:szCs w:val="20"/>
        </w:rPr>
        <w:t xml:space="preserve"> - нагрузка (мощность) объектов абонентов, присоединенная к водопроводным или канализационным сетям i-той регулируемой организации (за исключением нагрузки систем пожаротушения в многоквартирных домах), куб. м/час.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98. Необходимая валовая выручка в части условно постоянных расходов определяется как фиксированная часть необходимой валовой выручки, которая рассчитывается исходя из объема ремонтных расходов, амортизации и расходов, осуществляемых из прибыли регулируемой организации. При применении метода доходности инвестированного капитала при расчете необходимой валовой выручки в части условно постоянных расходов учитываются возврат и доход на инвестированный капитал, а также часть операционных расходов, относящаяся к ремонтным расходам.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99. При переходе от применения одноставочных тарифов к применению двухставочных тарифов ставка платы за содержание мощности может увеличиваться поэтапно (с поэтапным снижением ставки за объем поданной воды, принятых сточных вод) в течение переходного периода продолжительностью до 5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100. В случае принятия органом регулирования решения об изменении вида тарифа (одноставочный или двухставочный) органом регулирования определяется влияние указанного изменения при прочих равных условиях регулирования на величину совокупного платежа потребителей. В случае увеличения совокупного платежа более чем на 20 процентов при прочих равных условиях регулирования органом регулирования принимается решение об установлении переходного периода на срок не более 5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течение указанного переходного периода в целях постепенного приведения устанавливаемых органом регулирования тарифов к уровню распределения затрат между ставкой за объем поданной воды, принятых сточных вод и ставкой за содержание мощности, определяемому в отсутствие такого переходного периода, к ставкам за содержание мощности тарифов, рассчитанных в соответствии с настоящими Методическими указаниями в условиях отсутствия такого переходного периода, органом регулирования применяются следующие показатели прироста ставки за содержание мощности: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показатели прироста ставки за содержание мощности, обеспечивающие равномерное увеличение ставки за содержание мощности в течение установленного переходного периода при переходе от одноставочного тарифа на двухставочный тариф;</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показатели прироста ставки за содержание мощности, обеспечивающие равномерное снижение ставки за содержание мощности в течение установленного переходного периода при переходе от двухставочного тарифа на одноставочный тариф.</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течение установленного переходного периода ставка за объем поданной воды, принятых сточных вод тарифов, рассчитанных в соответствии с </w:t>
      </w:r>
      <w:hyperlink w:anchor="Par886" w:history="1">
        <w:r>
          <w:rPr>
            <w:rFonts w:ascii="Times New Roman" w:hAnsi="Times New Roman" w:cs="Times New Roman"/>
            <w:color w:val="0000FF"/>
            <w:sz w:val="20"/>
            <w:szCs w:val="20"/>
          </w:rPr>
          <w:t>главами VIII</w:t>
        </w:r>
      </w:hyperlink>
      <w:r>
        <w:rPr>
          <w:rFonts w:ascii="Times New Roman" w:hAnsi="Times New Roman" w:cs="Times New Roman"/>
          <w:sz w:val="20"/>
          <w:szCs w:val="20"/>
        </w:rPr>
        <w:t xml:space="preserve">, </w:t>
      </w:r>
      <w:hyperlink w:anchor="Par898" w:history="1">
        <w:r>
          <w:rPr>
            <w:rFonts w:ascii="Times New Roman" w:hAnsi="Times New Roman" w:cs="Times New Roman"/>
            <w:color w:val="0000FF"/>
            <w:sz w:val="20"/>
            <w:szCs w:val="20"/>
          </w:rPr>
          <w:t>VIII.I</w:t>
        </w:r>
      </w:hyperlink>
      <w:r>
        <w:rPr>
          <w:rFonts w:ascii="Times New Roman" w:hAnsi="Times New Roman" w:cs="Times New Roman"/>
          <w:sz w:val="20"/>
          <w:szCs w:val="20"/>
        </w:rPr>
        <w:t xml:space="preserve">, </w:t>
      </w:r>
      <w:hyperlink w:anchor="Par976" w:history="1">
        <w:r>
          <w:rPr>
            <w:rFonts w:ascii="Times New Roman" w:hAnsi="Times New Roman" w:cs="Times New Roman"/>
            <w:color w:val="0000FF"/>
            <w:sz w:val="20"/>
            <w:szCs w:val="20"/>
          </w:rPr>
          <w:t>VIII.III</w:t>
        </w:r>
      </w:hyperlink>
      <w:r>
        <w:rPr>
          <w:rFonts w:ascii="Times New Roman" w:hAnsi="Times New Roman" w:cs="Times New Roman"/>
          <w:sz w:val="20"/>
          <w:szCs w:val="20"/>
        </w:rPr>
        <w:t>, IX настоящих Методических указаний и настоящей главой, определяется таким образом, чтобы регулируемой организации было обеспечено получение в переходный период необходимой валовой выручки, определенной в соответствии с настоящими Методическими указаниями.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101. В случае установления многоставочных тарифов ставки тарифа рассчитываются исходя из объемов потребления воды абонентами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6"/>
          <w:sz w:val="20"/>
          <w:szCs w:val="20"/>
          <w:lang w:eastAsia="ru-RU"/>
        </w:rPr>
        <w:drawing>
          <wp:inline distT="0" distB="0" distL="0" distR="0" wp14:anchorId="18E9CCAA" wp14:editId="5C5D6063">
            <wp:extent cx="1057275" cy="4572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1057275" cy="457200"/>
                    </a:xfrm>
                    <a:prstGeom prst="rect">
                      <a:avLst/>
                    </a:prstGeom>
                    <a:noFill/>
                    <a:ln>
                      <a:noFill/>
                    </a:ln>
                  </pic:spPr>
                </pic:pic>
              </a:graphicData>
            </a:graphic>
          </wp:inline>
        </w:drawing>
      </w:r>
      <w:r>
        <w:rPr>
          <w:rFonts w:ascii="Times New Roman" w:hAnsi="Times New Roman" w:cs="Times New Roman"/>
          <w:sz w:val="20"/>
          <w:szCs w:val="20"/>
        </w:rPr>
        <w:t>, (44)</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5478C83" wp14:editId="24E62933">
            <wp:extent cx="295275" cy="25717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Pr>
          <w:rFonts w:ascii="Times New Roman" w:hAnsi="Times New Roman" w:cs="Times New Roman"/>
          <w:sz w:val="20"/>
          <w:szCs w:val="20"/>
        </w:rPr>
        <w:t xml:space="preserve"> - ставка тарифа на питьевую воду на i-ый год в рамках j-го объема потребления,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CC7586E" wp14:editId="769831B3">
            <wp:extent cx="409575" cy="2286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Pr>
          <w:rFonts w:ascii="Times New Roman" w:hAnsi="Times New Roman" w:cs="Times New Roman"/>
          <w:sz w:val="20"/>
          <w:szCs w:val="20"/>
        </w:rPr>
        <w:t xml:space="preserve"> - необходимая валовая выручка на i-ый год, руб. куб./м;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47B793A4" wp14:editId="68A7DEE8">
            <wp:extent cx="180975" cy="2571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80975" cy="257175"/>
                    </a:xfrm>
                    <a:prstGeom prst="rect">
                      <a:avLst/>
                    </a:prstGeom>
                    <a:noFill/>
                    <a:ln>
                      <a:noFill/>
                    </a:ln>
                  </pic:spPr>
                </pic:pic>
              </a:graphicData>
            </a:graphic>
          </wp:inline>
        </w:drawing>
      </w:r>
      <w:r>
        <w:rPr>
          <w:rFonts w:ascii="Times New Roman" w:hAnsi="Times New Roman" w:cs="Times New Roman"/>
          <w:sz w:val="20"/>
          <w:szCs w:val="20"/>
        </w:rPr>
        <w:t xml:space="preserve"> - коэффициент, определяющий долю необходимой валовой выручки, относимой на j-й объем потребления на i-ый год;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B1F4C71" wp14:editId="4AC43C94">
            <wp:extent cx="200025" cy="2571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rPr>
          <w:rFonts w:ascii="Times New Roman" w:hAnsi="Times New Roman" w:cs="Times New Roman"/>
          <w:sz w:val="20"/>
          <w:szCs w:val="20"/>
        </w:rPr>
        <w:t xml:space="preserve"> - j-й объем потребления воды абонентами, определяемый органом регулирования тарифов на i-ый год, куб. 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r>
        <w:rPr>
          <w:rFonts w:ascii="Times New Roman" w:hAnsi="Times New Roman" w:cs="Times New Roman"/>
          <w:b/>
          <w:bCs/>
          <w:sz w:val="20"/>
          <w:szCs w:val="20"/>
        </w:rPr>
        <w:t>VIII.II. Дифференциация тарифов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102. Тарифы в сфере горячего водоснабжения, холодного водоснабжения могут устанавливаться дифференцированно с учетом следующих параметров: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а) наличие нескольких технологически не связанных между собой централизованных систем холодного (горячего) водоснабжения;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объемы потребления воды абонентами;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соответствие качества питьевой воды и горячей воды требованиям, установленным санитарными нормами и правилами.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103. В случае принятия решения о дифференциации тарифов по технологически не связанным между собой централизованным системам холодного (горячего) водоснабжения орган регулирования принимает решение об установлении тарифа (одноставочного или двухставочного) отдельно в каждой централизованной системе холодного (горячего) водоснабжения исходя из расходов на осуществление регулируемых видов деятельности в каждой централизованной системе холодного (горячего) водоснабжения.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104. В случае принятия решения о дифференциации тарифов по объемам потребления воды и отведения сточных вод абонентами орган регулирования тарифов определяет объем потребления воды и отведения сточных вод абонентами, в отношении которого рассчитываются коэффициенты, определяющие долю необходимой валовой выручки, относимой на j-й объем потребления воды и отведения сточных вод абонентами на i-ый год и осуществляет расчет тарифов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6"/>
          <w:sz w:val="20"/>
          <w:szCs w:val="20"/>
          <w:lang w:eastAsia="ru-RU"/>
        </w:rPr>
        <w:drawing>
          <wp:inline distT="0" distB="0" distL="0" distR="0" wp14:anchorId="6554D613" wp14:editId="02A58EB7">
            <wp:extent cx="952500" cy="457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952500" cy="457200"/>
                    </a:xfrm>
                    <a:prstGeom prst="rect">
                      <a:avLst/>
                    </a:prstGeom>
                    <a:noFill/>
                    <a:ln>
                      <a:noFill/>
                    </a:ln>
                  </pic:spPr>
                </pic:pic>
              </a:graphicData>
            </a:graphic>
          </wp:inline>
        </w:drawing>
      </w:r>
      <w:r>
        <w:rPr>
          <w:rFonts w:ascii="Times New Roman" w:hAnsi="Times New Roman" w:cs="Times New Roman"/>
          <w:sz w:val="20"/>
          <w:szCs w:val="20"/>
        </w:rPr>
        <w:t>, (45)</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460C6F8" wp14:editId="2FBDCC53">
            <wp:extent cx="190500" cy="2571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r>
        <w:rPr>
          <w:rFonts w:ascii="Times New Roman" w:hAnsi="Times New Roman" w:cs="Times New Roman"/>
          <w:sz w:val="20"/>
          <w:szCs w:val="20"/>
        </w:rPr>
        <w:t xml:space="preserve"> - тариф, устанавливаемый на i-тый год для j-того объема потребления воды и отведения сточных вод,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105. В случае установления тарифов на питьевую воду (питьевое водоснабжение) или на горячую воду дифференцированно в зависимости от соответствия качества питьевой воды, горячей воды требованиям, установленным санитарными нормами и правилами, органы регулирования тарифов применяют при расчете объемов воды, потребляемой разными категориями, фактические данные за предыдущий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период реализации планов мероприятий по приведению качества питьевой воды, горячей воды в соответствие с нормативными требованиями дифференциация тарифов по качеству воды не применяется.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106. Тарифы в сфере водоотведения по решению органа регулирования могут устанавливаться дифференцированно с учетом следующих параметров: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наличие нескольких технологически не связанных между собой централизованных систем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категории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жидкие бытовые отходы;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поверхностные сточные воды;</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хозяйственно-бытовые сточные воды, отводимые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сточные воды, отводимые абонентами, для объектов которых устанавливаются нормативы водоотведения (сброса) по составу сточных вод, нормативы допустимых сбросов абонентов;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сточные воды, отводимые иными абонентами;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объема отводимых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Дифференциация по объему сточных вод может производиться в том числе по объему сточных вод, отводимого в пределах норматива водоотведения по объему сточных вод и сверх такого норматива.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107. В случае принятия решения о дифференциации тарифов по технологически не связанным между собой централизованным системам водоотведения орган регулирования принимает решение об установлении тарифа (одноставочного или двухставочного) отдельно в каждой централизованной системе водоотведения, исходя из расходов на осуществление регулируемого вида деятельности в каждой централизованной системе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108. При дифференциации тарифов по категориям сточных вод орган регулирования рассчитывает коэффициенты, определяющие величину отклонения тарифов от среднего уровня, и осуществляет расчет тарифов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5"/>
          <w:sz w:val="20"/>
          <w:szCs w:val="20"/>
          <w:lang w:eastAsia="ru-RU"/>
        </w:rPr>
        <w:drawing>
          <wp:inline distT="0" distB="0" distL="0" distR="0" wp14:anchorId="1F54476C" wp14:editId="7F44C7B5">
            <wp:extent cx="1143000" cy="4476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143000" cy="447675"/>
                    </a:xfrm>
                    <a:prstGeom prst="rect">
                      <a:avLst/>
                    </a:prstGeom>
                    <a:noFill/>
                    <a:ln>
                      <a:noFill/>
                    </a:ln>
                  </pic:spPr>
                </pic:pic>
              </a:graphicData>
            </a:graphic>
          </wp:inline>
        </w:drawing>
      </w:r>
      <w:r>
        <w:rPr>
          <w:rFonts w:ascii="Times New Roman" w:hAnsi="Times New Roman" w:cs="Times New Roman"/>
          <w:sz w:val="20"/>
          <w:szCs w:val="20"/>
        </w:rPr>
        <w:t>, (46)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CAE63EB" wp14:editId="193BD6E9">
            <wp:extent cx="180975" cy="2571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80975" cy="257175"/>
                    </a:xfrm>
                    <a:prstGeom prst="rect">
                      <a:avLst/>
                    </a:prstGeom>
                    <a:noFill/>
                    <a:ln>
                      <a:noFill/>
                    </a:ln>
                  </pic:spPr>
                </pic:pic>
              </a:graphicData>
            </a:graphic>
          </wp:inline>
        </w:drawing>
      </w:r>
      <w:r>
        <w:rPr>
          <w:rFonts w:ascii="Times New Roman" w:hAnsi="Times New Roman" w:cs="Times New Roman"/>
          <w:sz w:val="20"/>
          <w:szCs w:val="20"/>
        </w:rPr>
        <w:t xml:space="preserve"> - тариф, устанавливаемый на i-тый год для j-той категории сточных вод,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27B06663" wp14:editId="3554B138">
            <wp:extent cx="161925" cy="1905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Pr>
          <w:rFonts w:ascii="Times New Roman" w:hAnsi="Times New Roman" w:cs="Times New Roman"/>
          <w:sz w:val="20"/>
          <w:szCs w:val="20"/>
        </w:rPr>
        <w:t xml:space="preserve"> - коэффициенты, определяющие величину отклонения тарифов от среднего уровня для j-той категории сточных вод;</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D1F6F3D" wp14:editId="09FB2BFD">
            <wp:extent cx="190500" cy="2571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r>
        <w:rPr>
          <w:rFonts w:ascii="Times New Roman" w:hAnsi="Times New Roman" w:cs="Times New Roman"/>
          <w:sz w:val="20"/>
          <w:szCs w:val="20"/>
        </w:rPr>
        <w:t xml:space="preserve"> - объем воды, устанавливаемый на i-тый год для j-той категории сточных вод, определяемый на основе фактических данных (за исключением случаев, установленных настоящим документом), тыс. куб. 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03D33E90" wp14:editId="5A13CFE3">
            <wp:extent cx="647700" cy="4191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647700" cy="419100"/>
                    </a:xfrm>
                    <a:prstGeom prst="rect">
                      <a:avLst/>
                    </a:prstGeom>
                    <a:noFill/>
                    <a:ln>
                      <a:noFill/>
                    </a:ln>
                  </pic:spPr>
                </pic:pic>
              </a:graphicData>
            </a:graphic>
          </wp:inline>
        </w:drawing>
      </w:r>
      <w:r>
        <w:rPr>
          <w:rFonts w:ascii="Times New Roman" w:hAnsi="Times New Roman" w:cs="Times New Roman"/>
          <w:sz w:val="20"/>
          <w:szCs w:val="20"/>
        </w:rPr>
        <w:t>, (46.1)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451B0C6F" wp14:editId="39B8D76A">
            <wp:extent cx="161925" cy="1905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Pr>
          <w:rFonts w:ascii="Times New Roman" w:hAnsi="Times New Roman" w:cs="Times New Roman"/>
          <w:sz w:val="20"/>
          <w:szCs w:val="20"/>
        </w:rPr>
        <w:t xml:space="preserve"> - коэффициент отклонения тарифов от среднего уровня;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ЗСВ - среднее за год значение показателя, характеризующего загрязненность сточных вод, определенное органом регулирования с учетом данных регулируемых организаций в отношении всех категорий сточных вод, поступающих в централизованную систему водоотведения, мг/л;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032CD63A" wp14:editId="6A2324F1">
            <wp:extent cx="371475" cy="2000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Pr>
          <w:rFonts w:ascii="Times New Roman" w:hAnsi="Times New Roman" w:cs="Times New Roman"/>
          <w:sz w:val="20"/>
          <w:szCs w:val="20"/>
        </w:rPr>
        <w:t xml:space="preserve"> - среднее за год значение показателя, характеризующего загрязненность сточных вод, определенное органом регулирования с учетом данных регулируемых организаций в отношении j-той категории сточных вод, мг/л.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качестве показателя, характеризующего загрязненность сточных вод, может быть использован показатель концентрации взвешенных веществ, биологического или химического потребления кислорода, другие показатели.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Органы регулирования тарифов вправе осуществлять дифференциацию тарифов по категориям сточных исходя из сопоставления расходов на содержание ливневых, общесплавных и хозяйственно-бытовых систем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outlineLvl w:val="2"/>
        <w:rPr>
          <w:rFonts w:ascii="Times New Roman" w:hAnsi="Times New Roman" w:cs="Times New Roman"/>
          <w:b/>
          <w:bCs/>
          <w:sz w:val="20"/>
          <w:szCs w:val="20"/>
        </w:rPr>
      </w:pPr>
      <w:bookmarkStart w:id="87" w:name="Par976"/>
      <w:bookmarkEnd w:id="87"/>
      <w:r>
        <w:rPr>
          <w:rFonts w:ascii="Times New Roman" w:hAnsi="Times New Roman" w:cs="Times New Roman"/>
          <w:b/>
          <w:bCs/>
          <w:sz w:val="20"/>
          <w:szCs w:val="20"/>
        </w:rPr>
        <w:t>VIII.III. Расчет тарифов на горячую воду</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109. Органы регулирования тарифов устанавливают однокомпонентный или двухкомпонентный тариф на горячую воду в закрытой системе горячего водоснабжения. Двухкомпонентный тариф состоит из компонента на холодную воду и компонента на тепловую энергию.</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109 в ред. </w:t>
      </w:r>
      <w:hyperlink r:id="rId42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109(1). После окончания переходного периода в ценовых зонах теплоснабжения органы регулирования тарифов устанавливают тарифы на горячую воду в закрытой системе горячего водоснабжения в виде формулы двухкомпонентных тарифов с использованием компонента на холодную воду, определяемого в соответствии с </w:t>
      </w:r>
      <w:hyperlink w:anchor="Par983" w:history="1">
        <w:r>
          <w:rPr>
            <w:rFonts w:ascii="Times New Roman" w:hAnsi="Times New Roman" w:cs="Times New Roman"/>
            <w:color w:val="0000FF"/>
            <w:sz w:val="20"/>
            <w:szCs w:val="20"/>
          </w:rPr>
          <w:t>пунктами 111</w:t>
        </w:r>
      </w:hyperlink>
      <w:r>
        <w:rPr>
          <w:rFonts w:ascii="Times New Roman" w:hAnsi="Times New Roman" w:cs="Times New Roman"/>
          <w:sz w:val="20"/>
          <w:szCs w:val="20"/>
        </w:rPr>
        <w:t xml:space="preserve"> - </w:t>
      </w:r>
      <w:hyperlink w:anchor="Par990" w:history="1">
        <w:r>
          <w:rPr>
            <w:rFonts w:ascii="Times New Roman" w:hAnsi="Times New Roman" w:cs="Times New Roman"/>
            <w:color w:val="0000FF"/>
            <w:sz w:val="20"/>
            <w:szCs w:val="20"/>
          </w:rPr>
          <w:t>112</w:t>
        </w:r>
      </w:hyperlink>
      <w:r>
        <w:rPr>
          <w:rFonts w:ascii="Times New Roman" w:hAnsi="Times New Roman" w:cs="Times New Roman"/>
          <w:sz w:val="20"/>
          <w:szCs w:val="20"/>
        </w:rPr>
        <w:t xml:space="preserve"> настоящих Методических указаний, и компонента на тепловую энергию, определяемого в соответствии с </w:t>
      </w:r>
      <w:hyperlink w:anchor="Par1022" w:history="1">
        <w:r>
          <w:rPr>
            <w:rFonts w:ascii="Times New Roman" w:hAnsi="Times New Roman" w:cs="Times New Roman"/>
            <w:color w:val="0000FF"/>
            <w:sz w:val="20"/>
            <w:szCs w:val="20"/>
          </w:rPr>
          <w:t>пунктом 113(1)</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109(1) введен </w:t>
      </w:r>
      <w:hyperlink r:id="rId425"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110. Компонент на холодную воду устанавливается в виде одноставочной ценовой ставки тарифа (из расчета платы за 1 куб. метр холодной воды) или двухставочной ценовой ставки тарифа (из расчета платы за 1 куб. метр холодной воды и платы за 1 куб. метр холодной воды в час присоединенной мощности) в зависимости от вида регулируемого тарифа (одноставочный или двухставочный), установленного в сфере водоснабжения.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88" w:name="Par983"/>
      <w:bookmarkEnd w:id="88"/>
      <w:r>
        <w:rPr>
          <w:rFonts w:ascii="Times New Roman" w:hAnsi="Times New Roman" w:cs="Times New Roman"/>
          <w:sz w:val="20"/>
          <w:szCs w:val="20"/>
        </w:rPr>
        <w:t>111. Значение компонента на холодную воду рассчитывается исходя из тарифа (тарифов) на питьевую воду (питьевое водоснабжение)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14D2265" wp14:editId="672D5C4C">
            <wp:extent cx="581025" cy="2571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Pr>
          <w:rFonts w:ascii="Times New Roman" w:hAnsi="Times New Roman" w:cs="Times New Roman"/>
          <w:sz w:val="20"/>
          <w:szCs w:val="20"/>
        </w:rPr>
        <w:t>, (47)</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523AC71F" wp14:editId="33F5BF3D">
            <wp:extent cx="257175" cy="2571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sz w:val="20"/>
          <w:szCs w:val="20"/>
        </w:rPr>
        <w:t xml:space="preserve"> - компонент на холодную воду i-той регулируемой организации,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5B64BDE" wp14:editId="6D897324">
            <wp:extent cx="257175" cy="2571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sz w:val="20"/>
          <w:szCs w:val="20"/>
        </w:rPr>
        <w:t xml:space="preserve"> - тариф на питьевую воду (питьевое водоснабжение), рассчитанный в соответствии с </w:t>
      </w:r>
      <w:hyperlink w:anchor="Par886" w:history="1">
        <w:r>
          <w:rPr>
            <w:rFonts w:ascii="Times New Roman" w:hAnsi="Times New Roman" w:cs="Times New Roman"/>
            <w:color w:val="0000FF"/>
            <w:sz w:val="20"/>
            <w:szCs w:val="20"/>
          </w:rPr>
          <w:t>главами VIII</w:t>
        </w:r>
      </w:hyperlink>
      <w:r>
        <w:rPr>
          <w:rFonts w:ascii="Times New Roman" w:hAnsi="Times New Roman" w:cs="Times New Roman"/>
          <w:sz w:val="20"/>
          <w:szCs w:val="20"/>
        </w:rPr>
        <w:t xml:space="preserve">, </w:t>
      </w:r>
      <w:hyperlink w:anchor="Par898" w:history="1">
        <w:r>
          <w:rPr>
            <w:rFonts w:ascii="Times New Roman" w:hAnsi="Times New Roman" w:cs="Times New Roman"/>
            <w:color w:val="0000FF"/>
            <w:sz w:val="20"/>
            <w:szCs w:val="20"/>
          </w:rPr>
          <w:t>VIII.I</w:t>
        </w:r>
      </w:hyperlink>
      <w:r>
        <w:rPr>
          <w:rFonts w:ascii="Times New Roman" w:hAnsi="Times New Roman" w:cs="Times New Roman"/>
          <w:sz w:val="20"/>
          <w:szCs w:val="20"/>
        </w:rPr>
        <w:t xml:space="preserve"> настоящих Методических указаний,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89" w:name="Par990"/>
      <w:bookmarkEnd w:id="89"/>
      <w:r>
        <w:rPr>
          <w:rFonts w:ascii="Times New Roman" w:hAnsi="Times New Roman" w:cs="Times New Roman"/>
          <w:sz w:val="20"/>
          <w:szCs w:val="20"/>
        </w:rPr>
        <w:t xml:space="preserve">112. 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w:anchor="Par108" w:history="1">
        <w:r>
          <w:rPr>
            <w:rFonts w:ascii="Times New Roman" w:hAnsi="Times New Roman" w:cs="Times New Roman"/>
            <w:color w:val="0000FF"/>
            <w:sz w:val="20"/>
            <w:szCs w:val="20"/>
          </w:rPr>
          <w:t>разделом IV</w:t>
        </w:r>
      </w:hyperlink>
      <w:r>
        <w:rPr>
          <w:rFonts w:ascii="Times New Roman" w:hAnsi="Times New Roman" w:cs="Times New Roman"/>
          <w:sz w:val="20"/>
          <w:szCs w:val="20"/>
        </w:rPr>
        <w:t xml:space="preserve"> настоящих Методических указаний, но не выше тарифа гарантирующей организации на питьевую воду (питьевое водоснабжение).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113. При утверждении двухкомпонентного тарифа на горячую воду в закрытой системе горячего водоснабжения значение компонента на тепловую энергию при установленном одноставочном тарифе на тепловую энергию определяется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4D1310B5" wp14:editId="6F74C77E">
            <wp:extent cx="1676400" cy="4286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1676400" cy="428625"/>
                    </a:xfrm>
                    <a:prstGeom prst="rect">
                      <a:avLst/>
                    </a:prstGeom>
                    <a:noFill/>
                    <a:ln>
                      <a:noFill/>
                    </a:ln>
                  </pic:spPr>
                </pic:pic>
              </a:graphicData>
            </a:graphic>
          </wp:inline>
        </w:drawing>
      </w:r>
      <w:r>
        <w:rPr>
          <w:rFonts w:ascii="Times New Roman" w:hAnsi="Times New Roman" w:cs="Times New Roman"/>
          <w:sz w:val="20"/>
          <w:szCs w:val="20"/>
        </w:rPr>
        <w:t xml:space="preserve"> (48),</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E162182" wp14:editId="6210786D">
            <wp:extent cx="276225" cy="238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Pr>
          <w:rFonts w:ascii="Times New Roman" w:hAnsi="Times New Roman" w:cs="Times New Roman"/>
          <w:sz w:val="20"/>
          <w:szCs w:val="20"/>
        </w:rPr>
        <w:t xml:space="preserve"> - компонент на тепловую энергию,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CE8E5B6" wp14:editId="7DC1311C">
            <wp:extent cx="266700" cy="2381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Pr>
          <w:rFonts w:ascii="Times New Roman" w:hAnsi="Times New Roman" w:cs="Times New Roman"/>
          <w:sz w:val="20"/>
          <w:szCs w:val="20"/>
        </w:rPr>
        <w:t xml:space="preserve"> - тариф на тепловую энергию (мощность), установленный органом регулирования в виде одноставочного тарифа,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w:t>
      </w:r>
      <w:r>
        <w:rPr>
          <w:rFonts w:ascii="Times New Roman" w:hAnsi="Times New Roman" w:cs="Times New Roman"/>
          <w:sz w:val="20"/>
          <w:szCs w:val="20"/>
          <w:vertAlign w:val="subscript"/>
        </w:rPr>
        <w:t>т</w:t>
      </w:r>
      <w:r>
        <w:rPr>
          <w:rFonts w:ascii="Times New Roman" w:hAnsi="Times New Roman" w:cs="Times New Roman"/>
          <w:sz w:val="20"/>
          <w:szCs w:val="20"/>
        </w:rP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w:t>
      </w:r>
      <w:r>
        <w:rPr>
          <w:rFonts w:ascii="Times New Roman" w:hAnsi="Times New Roman" w:cs="Times New Roman"/>
          <w:sz w:val="20"/>
          <w:szCs w:val="20"/>
          <w:vertAlign w:val="subscript"/>
        </w:rPr>
        <w:t>цтп</w:t>
      </w:r>
      <w:r>
        <w:rPr>
          <w:rFonts w:ascii="Times New Roman" w:hAnsi="Times New Roman" w:cs="Times New Roman"/>
          <w:sz w:val="20"/>
          <w:szCs w:val="20"/>
        </w:rP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w:t>
      </w:r>
      <w:r>
        <w:rPr>
          <w:rFonts w:ascii="Times New Roman" w:hAnsi="Times New Roman" w:cs="Times New Roman"/>
          <w:sz w:val="20"/>
          <w:szCs w:val="20"/>
        </w:rPr>
        <w:lastRenderedPageBreak/>
        <w:t>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w:t>
      </w:r>
      <w:r>
        <w:rPr>
          <w:rFonts w:ascii="Times New Roman" w:hAnsi="Times New Roman" w:cs="Times New Roman"/>
          <w:sz w:val="20"/>
          <w:szCs w:val="20"/>
          <w:vertAlign w:val="subscript"/>
        </w:rPr>
        <w:t>т</w:t>
      </w:r>
      <w:r>
        <w:rPr>
          <w:rFonts w:ascii="Times New Roman" w:hAnsi="Times New Roman" w:cs="Times New Roman"/>
          <w:sz w:val="20"/>
          <w:szCs w:val="20"/>
        </w:rPr>
        <w:t xml:space="preserve"> - расходы, связанные с транспортировкой горячей воды, - в случае, если такие расходы не учтены при установлении тарифов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Q</w:t>
      </w:r>
      <w:r>
        <w:rPr>
          <w:rFonts w:ascii="Times New Roman" w:hAnsi="Times New Roman" w:cs="Times New Roman"/>
          <w:sz w:val="20"/>
          <w:szCs w:val="20"/>
          <w:vertAlign w:val="subscript"/>
        </w:rPr>
        <w:t>i</w:t>
      </w:r>
      <w:r>
        <w:rPr>
          <w:rFonts w:ascii="Times New Roman" w:hAnsi="Times New Roman" w:cs="Times New Roman"/>
          <w:sz w:val="20"/>
          <w:szCs w:val="20"/>
        </w:rPr>
        <w:t xml:space="preserve"> - объем тепловой энергии, реализуемой абонентам в i-ом периоде регулирования в целях оказания услуги горячего водоснабжения в закрытой системе горячего водоснабжения, определяемый в соответствии с </w:t>
      </w:r>
      <w:hyperlink w:anchor="Par1109" w:history="1">
        <w:r>
          <w:rPr>
            <w:rFonts w:ascii="Times New Roman" w:hAnsi="Times New Roman" w:cs="Times New Roman"/>
            <w:color w:val="0000FF"/>
            <w:sz w:val="20"/>
            <w:szCs w:val="20"/>
          </w:rPr>
          <w:t>Приложением 1</w:t>
        </w:r>
      </w:hyperlink>
      <w:r>
        <w:rPr>
          <w:rFonts w:ascii="Times New Roman" w:hAnsi="Times New Roman" w:cs="Times New Roman"/>
          <w:sz w:val="20"/>
          <w:szCs w:val="20"/>
        </w:rPr>
        <w:t xml:space="preserve"> к настоящим Методическим указаниям, тыс. 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утверждении двухкомпонентного тарифа на горячую воду в закрытой системе горячего водоснабжения значение компонента на тепловую энергию при установленном двухставочном тарифе на тепловую энергию (мощность) определяется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14:anchorId="7785EFA3" wp14:editId="684732C7">
            <wp:extent cx="1524000" cy="4286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524000" cy="428625"/>
                    </a:xfrm>
                    <a:prstGeom prst="rect">
                      <a:avLst/>
                    </a:prstGeom>
                    <a:noFill/>
                    <a:ln>
                      <a:noFill/>
                    </a:ln>
                  </pic:spPr>
                </pic:pic>
              </a:graphicData>
            </a:graphic>
          </wp:inline>
        </w:drawing>
      </w:r>
      <w:r>
        <w:rPr>
          <w:rFonts w:ascii="Times New Roman" w:hAnsi="Times New Roman" w:cs="Times New Roman"/>
          <w:sz w:val="20"/>
          <w:szCs w:val="20"/>
        </w:rPr>
        <w:t xml:space="preserve"> (49),</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5"/>
          <w:sz w:val="20"/>
          <w:szCs w:val="20"/>
          <w:lang w:eastAsia="ru-RU"/>
        </w:rPr>
        <w:drawing>
          <wp:inline distT="0" distB="0" distL="0" distR="0" wp14:anchorId="0E73F229" wp14:editId="111DB7A9">
            <wp:extent cx="1990725" cy="4476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0725" cy="447675"/>
                    </a:xfrm>
                    <a:prstGeom prst="rect">
                      <a:avLst/>
                    </a:prstGeom>
                    <a:noFill/>
                    <a:ln>
                      <a:noFill/>
                    </a:ln>
                  </pic:spPr>
                </pic:pic>
              </a:graphicData>
            </a:graphic>
          </wp:inline>
        </w:drawing>
      </w:r>
      <w:r>
        <w:rPr>
          <w:rFonts w:ascii="Times New Roman" w:hAnsi="Times New Roman" w:cs="Times New Roman"/>
          <w:sz w:val="20"/>
          <w:szCs w:val="20"/>
        </w:rPr>
        <w:t xml:space="preserve"> (49.1),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C1B7AAD" wp14:editId="053E261A">
            <wp:extent cx="390525" cy="2381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rFonts w:ascii="Times New Roman" w:hAnsi="Times New Roman" w:cs="Times New Roman"/>
          <w:sz w:val="20"/>
          <w:szCs w:val="20"/>
        </w:rPr>
        <w:t xml:space="preserve"> - компонент на тепловую энергию в части условно-переменных расходов,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3C487276" wp14:editId="425BE97D">
            <wp:extent cx="381000" cy="238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Pr>
          <w:rFonts w:ascii="Times New Roman" w:hAnsi="Times New Roman" w:cs="Times New Roman"/>
          <w:sz w:val="20"/>
          <w:szCs w:val="20"/>
        </w:rPr>
        <w:t xml:space="preserve"> - ставка на тепловую энергию двухставочного тарифа,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w:t>
      </w:r>
      <w:r>
        <w:rPr>
          <w:rFonts w:ascii="Times New Roman" w:hAnsi="Times New Roman" w:cs="Times New Roman"/>
          <w:sz w:val="20"/>
          <w:szCs w:val="20"/>
          <w:vertAlign w:val="subscript"/>
        </w:rPr>
        <w:t>т</w:t>
      </w:r>
      <w:r>
        <w:rPr>
          <w:rFonts w:ascii="Times New Roman" w:hAnsi="Times New Roman" w:cs="Times New Roman"/>
          <w:sz w:val="20"/>
          <w:szCs w:val="20"/>
        </w:rP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w:t>
      </w:r>
      <w:r>
        <w:rPr>
          <w:rFonts w:ascii="Times New Roman" w:hAnsi="Times New Roman" w:cs="Times New Roman"/>
          <w:sz w:val="20"/>
          <w:szCs w:val="20"/>
          <w:vertAlign w:val="subscript"/>
        </w:rPr>
        <w:t>т</w:t>
      </w:r>
      <w:r>
        <w:rPr>
          <w:rFonts w:ascii="Times New Roman" w:hAnsi="Times New Roman" w:cs="Times New Roman"/>
          <w:sz w:val="20"/>
          <w:szCs w:val="20"/>
        </w:rPr>
        <w:t xml:space="preserve"> - расходы, связанные с транспортировкой горячей воды, - в случае, если такие расходы не учтены при установлении тарифов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Q</w:t>
      </w:r>
      <w:r>
        <w:rPr>
          <w:rFonts w:ascii="Times New Roman" w:hAnsi="Times New Roman" w:cs="Times New Roman"/>
          <w:sz w:val="20"/>
          <w:szCs w:val="20"/>
          <w:vertAlign w:val="subscript"/>
        </w:rPr>
        <w:t>i</w:t>
      </w:r>
      <w:r>
        <w:rPr>
          <w:rFonts w:ascii="Times New Roman" w:hAnsi="Times New Roman" w:cs="Times New Roman"/>
          <w:sz w:val="20"/>
          <w:szCs w:val="20"/>
        </w:rPr>
        <w:t xml:space="preserve"> - объем тепловой энергии, реализуемой абонентам в i-ом периоде регулирования в целях оказания услуги горячего водоснабжения в закрытой системе горячего водоснабжения, определяемый в соответствии с </w:t>
      </w:r>
      <w:hyperlink w:anchor="Par1109" w:history="1">
        <w:r>
          <w:rPr>
            <w:rFonts w:ascii="Times New Roman" w:hAnsi="Times New Roman" w:cs="Times New Roman"/>
            <w:color w:val="0000FF"/>
            <w:sz w:val="20"/>
            <w:szCs w:val="20"/>
          </w:rPr>
          <w:t>Приложением 1</w:t>
        </w:r>
      </w:hyperlink>
      <w:r>
        <w:rPr>
          <w:rFonts w:ascii="Times New Roman" w:hAnsi="Times New Roman" w:cs="Times New Roman"/>
          <w:sz w:val="20"/>
          <w:szCs w:val="20"/>
        </w:rPr>
        <w:t xml:space="preserve"> к настоящим Методическим указаниям, тыс. 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5B194B55" wp14:editId="746BDD6F">
            <wp:extent cx="447675" cy="2381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rFonts w:ascii="Times New Roman" w:hAnsi="Times New Roman" w:cs="Times New Roman"/>
          <w:sz w:val="20"/>
          <w:szCs w:val="20"/>
        </w:rPr>
        <w:t xml:space="preserve"> - компонент на тепловую энергию в части условно-постоянных расходов, руб./Гкал/ч в мес.;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691AD831" wp14:editId="45E4CD28">
            <wp:extent cx="419100" cy="238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Pr>
          <w:rFonts w:ascii="Times New Roman" w:hAnsi="Times New Roman" w:cs="Times New Roman"/>
          <w:sz w:val="20"/>
          <w:szCs w:val="20"/>
        </w:rPr>
        <w:t xml:space="preserve"> - ставка на содержание тепловой мощности двухставочного тарифа, тыс. руб./Гкал/ч в мес.;</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w:t>
      </w:r>
      <w:r>
        <w:rPr>
          <w:rFonts w:ascii="Times New Roman" w:hAnsi="Times New Roman" w:cs="Times New Roman"/>
          <w:sz w:val="20"/>
          <w:szCs w:val="20"/>
          <w:vertAlign w:val="subscript"/>
        </w:rPr>
        <w:t>цтп</w:t>
      </w:r>
      <w:r>
        <w:rPr>
          <w:rFonts w:ascii="Times New Roman" w:hAnsi="Times New Roman" w:cs="Times New Roman"/>
          <w:sz w:val="20"/>
          <w:szCs w:val="20"/>
        </w:rP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(мощность),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w:t>
      </w:r>
      <w:r>
        <w:rPr>
          <w:rFonts w:ascii="Times New Roman" w:hAnsi="Times New Roman" w:cs="Times New Roman"/>
          <w:sz w:val="20"/>
          <w:szCs w:val="20"/>
          <w:vertAlign w:val="subscript"/>
        </w:rPr>
        <w:t>гвс</w:t>
      </w:r>
      <w:r>
        <w:rPr>
          <w:rFonts w:ascii="Times New Roman" w:hAnsi="Times New Roman" w:cs="Times New Roman"/>
          <w:sz w:val="20"/>
          <w:szCs w:val="20"/>
        </w:rPr>
        <w:t xml:space="preserve"> - присоединенная мощность абонентов, которым оказываются услуги горячего водоснабжения в закрытой системе горячего водоснабжения, Гкал/ч мес.</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113 в ред. </w:t>
      </w:r>
      <w:hyperlink r:id="rId43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90" w:name="Par1022"/>
      <w:bookmarkEnd w:id="90"/>
      <w:r>
        <w:rPr>
          <w:rFonts w:ascii="Times New Roman" w:hAnsi="Times New Roman" w:cs="Times New Roman"/>
          <w:sz w:val="20"/>
          <w:szCs w:val="20"/>
        </w:rPr>
        <w:lastRenderedPageBreak/>
        <w:t>113(1). Значение компонента на тепловую энергию после окончания переходного периода в ценовых зонах теплоснабжения определяется по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59F4CF2" wp14:editId="7B57E2CF">
            <wp:extent cx="1085850" cy="2381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085850" cy="23812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5A52BFD" wp14:editId="5C956E70">
            <wp:extent cx="257175" cy="2381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Pr>
          <w:rFonts w:ascii="Times New Roman" w:hAnsi="Times New Roman" w:cs="Times New Roman"/>
          <w:sz w:val="20"/>
          <w:szCs w:val="20"/>
        </w:rPr>
        <w:t xml:space="preserve"> - компонент на тепловую энергию,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6BBA9D52" wp14:editId="71323C6F">
            <wp:extent cx="228600" cy="2381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Pr>
          <w:rFonts w:ascii="Times New Roman" w:hAnsi="Times New Roman" w:cs="Times New Roman"/>
          <w:sz w:val="20"/>
          <w:szCs w:val="20"/>
        </w:rPr>
        <w:t xml:space="preserve"> - цена на тепловую энергию (мощность), поставляемую потребителям, определяется соглашением сторон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442" w:history="1">
        <w:r>
          <w:rPr>
            <w:rFonts w:ascii="Times New Roman" w:hAnsi="Times New Roman" w:cs="Times New Roman"/>
            <w:color w:val="0000FF"/>
            <w:sz w:val="20"/>
            <w:szCs w:val="20"/>
          </w:rPr>
          <w:t>частях 2.1</w:t>
        </w:r>
      </w:hyperlink>
      <w:r>
        <w:rPr>
          <w:rFonts w:ascii="Times New Roman" w:hAnsi="Times New Roman" w:cs="Times New Roman"/>
          <w:sz w:val="20"/>
          <w:szCs w:val="20"/>
        </w:rPr>
        <w:t xml:space="preserve"> - </w:t>
      </w:r>
      <w:hyperlink r:id="rId443" w:history="1">
        <w:r>
          <w:rPr>
            <w:rFonts w:ascii="Times New Roman" w:hAnsi="Times New Roman" w:cs="Times New Roman"/>
            <w:color w:val="0000FF"/>
            <w:sz w:val="20"/>
            <w:szCs w:val="20"/>
          </w:rPr>
          <w:t>2.3 статьи 8</w:t>
        </w:r>
      </w:hyperlink>
      <w:r>
        <w:rPr>
          <w:rFonts w:ascii="Times New Roman" w:hAnsi="Times New Roman" w:cs="Times New Roman"/>
          <w:sz w:val="20"/>
          <w:szCs w:val="20"/>
        </w:rPr>
        <w:t xml:space="preserve"> и </w:t>
      </w:r>
      <w:hyperlink r:id="rId444" w:history="1">
        <w:r>
          <w:rPr>
            <w:rFonts w:ascii="Times New Roman" w:hAnsi="Times New Roman" w:cs="Times New Roman"/>
            <w:color w:val="0000FF"/>
            <w:sz w:val="20"/>
            <w:szCs w:val="20"/>
          </w:rPr>
          <w:t>12.1</w:t>
        </w:r>
      </w:hyperlink>
      <w:r>
        <w:rPr>
          <w:rFonts w:ascii="Times New Roman" w:hAnsi="Times New Roman" w:cs="Times New Roman"/>
          <w:sz w:val="20"/>
          <w:szCs w:val="20"/>
        </w:rPr>
        <w:t xml:space="preserve"> - </w:t>
      </w:r>
      <w:hyperlink r:id="rId445" w:history="1">
        <w:r>
          <w:rPr>
            <w:rFonts w:ascii="Times New Roman" w:hAnsi="Times New Roman" w:cs="Times New Roman"/>
            <w:color w:val="0000FF"/>
            <w:sz w:val="20"/>
            <w:szCs w:val="20"/>
          </w:rPr>
          <w:t>12.4 статьи 10</w:t>
        </w:r>
      </w:hyperlink>
      <w:r>
        <w:rPr>
          <w:rFonts w:ascii="Times New Roman" w:hAnsi="Times New Roman" w:cs="Times New Roman"/>
          <w:sz w:val="20"/>
          <w:szCs w:val="20"/>
        </w:rPr>
        <w:t xml:space="preserve"> Федерального закона от 27.07.2010 N 190-ФЗ "О теплоснабжении" (далее - Федеральный закон N 190-ФЗ) (Собрание законодательства, 2010, N 31, ст. 4159; 2018, N 31, ст. 4861), руб./Гкал.</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113(1) введен </w:t>
      </w:r>
      <w:hyperlink r:id="rId446"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29.10.2019 N 1438/19)</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114. В случае, если при установлении тарифов на тепловую энергию не были учтены расходы регулируемой организации, предусмотренные </w:t>
      </w:r>
      <w:hyperlink r:id="rId447" w:history="1">
        <w:r>
          <w:rPr>
            <w:rFonts w:ascii="Times New Roman" w:hAnsi="Times New Roman" w:cs="Times New Roman"/>
            <w:color w:val="0000FF"/>
            <w:sz w:val="20"/>
            <w:szCs w:val="20"/>
          </w:rPr>
          <w:t>пунктами "б"</w:t>
        </w:r>
      </w:hyperlink>
      <w:r>
        <w:rPr>
          <w:rFonts w:ascii="Times New Roman" w:hAnsi="Times New Roman" w:cs="Times New Roman"/>
          <w:sz w:val="20"/>
          <w:szCs w:val="20"/>
        </w:rPr>
        <w:t xml:space="preserve">, </w:t>
      </w:r>
      <w:hyperlink r:id="rId448" w:history="1">
        <w:r>
          <w:rPr>
            <w:rFonts w:ascii="Times New Roman" w:hAnsi="Times New Roman" w:cs="Times New Roman"/>
            <w:color w:val="0000FF"/>
            <w:sz w:val="20"/>
            <w:szCs w:val="20"/>
          </w:rPr>
          <w:t>"в"</w:t>
        </w:r>
      </w:hyperlink>
      <w:r>
        <w:rPr>
          <w:rFonts w:ascii="Times New Roman" w:hAnsi="Times New Roman" w:cs="Times New Roman"/>
          <w:sz w:val="20"/>
          <w:szCs w:val="20"/>
        </w:rPr>
        <w:t xml:space="preserve">, </w:t>
      </w:r>
      <w:hyperlink r:id="rId449" w:history="1">
        <w:r>
          <w:rPr>
            <w:rFonts w:ascii="Times New Roman" w:hAnsi="Times New Roman" w:cs="Times New Roman"/>
            <w:color w:val="0000FF"/>
            <w:sz w:val="20"/>
            <w:szCs w:val="20"/>
          </w:rPr>
          <w:t>"г" пункта 92</w:t>
        </w:r>
      </w:hyperlink>
      <w:r>
        <w:rPr>
          <w:rFonts w:ascii="Times New Roman" w:hAnsi="Times New Roman" w:cs="Times New Roman"/>
          <w:sz w:val="20"/>
          <w:szCs w:val="20"/>
        </w:rPr>
        <w:t xml:space="preserve"> Основ ценообразования, такие расходы учитываются при расчете компонента на тепловую энергию.</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114.1. Однокомпонентный тариф на горячую воду в закрытой системе горячего водоснабжения в расчете на 1 куб. м при установленном одноставочном тарифе на тепловую энергию (мощность) рассчитывается по следующей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5"/>
          <w:sz w:val="20"/>
          <w:szCs w:val="20"/>
          <w:lang w:eastAsia="ru-RU"/>
        </w:rPr>
        <w:drawing>
          <wp:inline distT="0" distB="0" distL="0" distR="0" wp14:anchorId="2F457306" wp14:editId="165A7B08">
            <wp:extent cx="2486025" cy="4476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2486025" cy="447675"/>
                    </a:xfrm>
                    <a:prstGeom prst="rect">
                      <a:avLst/>
                    </a:prstGeom>
                    <a:noFill/>
                    <a:ln>
                      <a:noFill/>
                    </a:ln>
                  </pic:spPr>
                </pic:pic>
              </a:graphicData>
            </a:graphic>
          </wp:inline>
        </w:drawing>
      </w:r>
      <w:r>
        <w:rPr>
          <w:rFonts w:ascii="Times New Roman" w:hAnsi="Times New Roman" w:cs="Times New Roman"/>
          <w:sz w:val="20"/>
          <w:szCs w:val="20"/>
        </w:rPr>
        <w:t xml:space="preserve"> (49.3),</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w:t>
      </w:r>
      <w:r>
        <w:rPr>
          <w:rFonts w:ascii="Times New Roman" w:hAnsi="Times New Roman" w:cs="Times New Roman"/>
          <w:sz w:val="20"/>
          <w:szCs w:val="20"/>
          <w:vertAlign w:val="subscript"/>
        </w:rPr>
        <w:t>хвс</w:t>
      </w:r>
      <w:r>
        <w:rPr>
          <w:rFonts w:ascii="Times New Roman" w:hAnsi="Times New Roman" w:cs="Times New Roman"/>
          <w:sz w:val="20"/>
          <w:szCs w:val="20"/>
        </w:rPr>
        <w:t xml:space="preserve"> - тариф на питьевую воду (питьевое водоснабжение), рассчитанный в соответствии с главами VIII, VIII.I настоящих Методических указаний, руб./куб. 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282EB12F" wp14:editId="2250124C">
            <wp:extent cx="228600" cy="2381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Pr>
          <w:rFonts w:ascii="Times New Roman" w:hAnsi="Times New Roman" w:cs="Times New Roman"/>
          <w:sz w:val="20"/>
          <w:szCs w:val="20"/>
        </w:rPr>
        <w:t xml:space="preserve"> - тариф на тепловую энергию (мощность), установленный органом регулирования в виде одноставочного тарифа, руб./Гкал;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w:t>
      </w:r>
      <w:r>
        <w:rPr>
          <w:rFonts w:ascii="Times New Roman" w:hAnsi="Times New Roman" w:cs="Times New Roman"/>
          <w:sz w:val="20"/>
          <w:szCs w:val="20"/>
          <w:vertAlign w:val="subscript"/>
        </w:rPr>
        <w:t>т</w:t>
      </w:r>
      <w:r>
        <w:rPr>
          <w:rFonts w:ascii="Times New Roman" w:hAnsi="Times New Roman" w:cs="Times New Roman"/>
          <w:sz w:val="20"/>
          <w:szCs w:val="20"/>
        </w:rPr>
        <w:t xml:space="preserve"> -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(включительно),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Уровень потерь тепловой энергии, принятый в расчете стоимости потерь тепловой энергии, указанный в настоящем пункте,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w:t>
      </w:r>
      <w:r>
        <w:rPr>
          <w:rFonts w:ascii="Times New Roman" w:hAnsi="Times New Roman" w:cs="Times New Roman"/>
          <w:sz w:val="20"/>
          <w:szCs w:val="20"/>
          <w:vertAlign w:val="subscript"/>
        </w:rPr>
        <w:t>цтп</w:t>
      </w:r>
      <w:r>
        <w:rPr>
          <w:rFonts w:ascii="Times New Roman" w:hAnsi="Times New Roman" w:cs="Times New Roman"/>
          <w:sz w:val="20"/>
          <w:szCs w:val="20"/>
        </w:rPr>
        <w:t xml:space="preserve"> -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w:t>
      </w:r>
      <w:r>
        <w:rPr>
          <w:rFonts w:ascii="Times New Roman" w:hAnsi="Times New Roman" w:cs="Times New Roman"/>
          <w:sz w:val="20"/>
          <w:szCs w:val="20"/>
          <w:vertAlign w:val="subscript"/>
        </w:rPr>
        <w:t>т</w:t>
      </w:r>
      <w:r>
        <w:rPr>
          <w:rFonts w:ascii="Times New Roman" w:hAnsi="Times New Roman" w:cs="Times New Roman"/>
          <w:sz w:val="20"/>
          <w:szCs w:val="20"/>
        </w:rPr>
        <w:t xml:space="preserve"> - расходы, связанные с транспортировкой горячей воды, - в случае, если такие расходы не учтены при установлении тарифов на тепловую энергию,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Q</w:t>
      </w:r>
      <w:r>
        <w:rPr>
          <w:rFonts w:ascii="Times New Roman" w:hAnsi="Times New Roman" w:cs="Times New Roman"/>
          <w:sz w:val="20"/>
          <w:szCs w:val="20"/>
          <w:vertAlign w:val="subscript"/>
        </w:rPr>
        <w:t>i</w:t>
      </w:r>
      <w:r>
        <w:rPr>
          <w:rFonts w:ascii="Times New Roman" w:hAnsi="Times New Roman" w:cs="Times New Roman"/>
          <w:sz w:val="20"/>
          <w:szCs w:val="20"/>
        </w:rPr>
        <w:t xml:space="preserve"> - объем тепловой энергии, реализуемой абонентам в i-ом периоде регулирования в целях оказания услуги горячего водоснабжения в закрытой системе горячего водоснабжения, определяемый в соответствии с </w:t>
      </w:r>
      <w:hyperlink w:anchor="Par1109" w:history="1">
        <w:r>
          <w:rPr>
            <w:rFonts w:ascii="Times New Roman" w:hAnsi="Times New Roman" w:cs="Times New Roman"/>
            <w:color w:val="0000FF"/>
            <w:sz w:val="20"/>
            <w:szCs w:val="20"/>
          </w:rPr>
          <w:t>Приложением 1</w:t>
        </w:r>
      </w:hyperlink>
      <w:r>
        <w:rPr>
          <w:rFonts w:ascii="Times New Roman" w:hAnsi="Times New Roman" w:cs="Times New Roman"/>
          <w:sz w:val="20"/>
          <w:szCs w:val="20"/>
        </w:rPr>
        <w:t xml:space="preserve"> к настоящим Методическим указаниям, тыс. Гкал;</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Q</w:t>
      </w:r>
      <w:r>
        <w:rPr>
          <w:rFonts w:ascii="Times New Roman" w:hAnsi="Times New Roman" w:cs="Times New Roman"/>
          <w:sz w:val="20"/>
          <w:szCs w:val="20"/>
          <w:vertAlign w:val="superscript"/>
        </w:rPr>
        <w:t>т/э</w:t>
      </w:r>
      <w:r>
        <w:rPr>
          <w:rFonts w:ascii="Times New Roman" w:hAnsi="Times New Roman" w:cs="Times New Roman"/>
          <w:sz w:val="20"/>
          <w:szCs w:val="20"/>
        </w:rPr>
        <w:t xml:space="preserve"> - объем (количество) тепловой энергии, необходимой для подогрева одного кубического метра холодной воды, определяется в соответствии с нормативом расхода тепловой энергии на подогрев холодной воды для предоставления коммунальной услуги по горячему водоснабжению в соответствии с </w:t>
      </w:r>
      <w:hyperlink r:id="rId45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Гкал./куб. м." (Собрание законодательства Российской Федерации, 2006, N 22, ст. 2338; 2017, N 41, ст. 5965).</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114.1 введен </w:t>
      </w:r>
      <w:hyperlink r:id="rId453"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08.10.2020 N 976/20)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X. Расчет платы за подключение</w:t>
      </w:r>
    </w:p>
    <w:p w:rsidR="00383934" w:rsidRDefault="00383934" w:rsidP="00383934">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(технологическое присоединение)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115. При расчете ставки тарифов за подключение (технологическое присоединение) учитываются расходы регулируемых организаций на создание водопроводных и канализационных сетей и объектов на них, определенные с учетом предложений регулируемых организаций в зависимости от применяемых материалов, типа прокладки сетей, в том числе глубины залегания сетей, стесненности условий при прокладке сетей, типа грунтов.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116. Размер платы за подключение к централизованной системе водоснабжения и (или) водоотведения рассчитывается организацией, осуществляющей подключение (технологическое присоединение) по следующей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10"/>
          <w:sz w:val="20"/>
          <w:szCs w:val="20"/>
          <w:lang w:eastAsia="ru-RU"/>
        </w:rPr>
        <w:drawing>
          <wp:inline distT="0" distB="0" distL="0" distR="0" wp14:anchorId="74DAA641" wp14:editId="0328F1BF">
            <wp:extent cx="1590675" cy="25717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590675" cy="257175"/>
                    </a:xfrm>
                    <a:prstGeom prst="rect">
                      <a:avLst/>
                    </a:prstGeom>
                    <a:noFill/>
                    <a:ln>
                      <a:noFill/>
                    </a:ln>
                  </pic:spPr>
                </pic:pic>
              </a:graphicData>
            </a:graphic>
          </wp:inline>
        </w:drawing>
      </w:r>
      <w:r>
        <w:rPr>
          <w:rFonts w:ascii="Times New Roman" w:hAnsi="Times New Roman" w:cs="Times New Roman"/>
          <w:sz w:val="20"/>
          <w:szCs w:val="20"/>
        </w:rPr>
        <w:t>, (50)</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ПП - плата за подключение объекта абонента к централизованной системе водоснабжения и (или) водоотведения,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54CECFAD" wp14:editId="1D020EE5">
            <wp:extent cx="276225" cy="1905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Pr>
          <w:rFonts w:ascii="Times New Roman" w:hAnsi="Times New Roman" w:cs="Times New Roman"/>
          <w:sz w:val="20"/>
          <w:szCs w:val="20"/>
        </w:rPr>
        <w:t xml:space="preserve"> - ставка тарифа за подключаемую нагрузку водопроводной или канализационной сети, тыс. руб./куб. м в сут.;</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56"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 - подключаемая нагрузка (мощность) объекта абонента, определяемая исходя из диаметра подключаемой водопроводной или канализационной сети, куб. м/сут.;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3023903" wp14:editId="37520F6B">
            <wp:extent cx="257175" cy="2571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sz w:val="20"/>
          <w:szCs w:val="20"/>
        </w:rPr>
        <w:t xml:space="preserve"> - ставка тарифа за протяженность водопроводной или канализационной сети диаметром d, тыс. руб./км;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58"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L - протяженность водопроводной или канализационной сети от точки подключения объекта заявителя до точки подключения создаваемых организацией водопроводных и (или) канализационных сетей к объектам централизованной системы водоснабжения и (или) водоотведения, км.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59"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91" w:name="Par1065"/>
      <w:bookmarkEnd w:id="91"/>
      <w:r>
        <w:rPr>
          <w:rFonts w:ascii="Times New Roman" w:hAnsi="Times New Roman" w:cs="Times New Roman"/>
          <w:sz w:val="20"/>
          <w:szCs w:val="20"/>
        </w:rPr>
        <w:t>По решению органа регулирования тарифов ставки тарифов за подключаемую нагрузку и протяженность водопроводной и канализационной сети могут устанавливаться дифференцированно в зависимости от условий прокладки сетей. Диапазон диаметров водопроводных и канализационных сетей, а также условия прокладки сетей определяются в соответствии с укрупненными сметными нормативами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117. Ставка тарифа на подключаемую нагрузку для регулируемой организации в централизованной системе водоснабжения и (или) водоотведения рассчитывается по следующей формуле:</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8"/>
          <w:sz w:val="20"/>
          <w:szCs w:val="20"/>
          <w:lang w:eastAsia="ru-RU"/>
        </w:rPr>
        <w:lastRenderedPageBreak/>
        <w:drawing>
          <wp:inline distT="0" distB="0" distL="0" distR="0" wp14:anchorId="622641ED" wp14:editId="70BC1AEE">
            <wp:extent cx="923925" cy="4953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923925" cy="495300"/>
                    </a:xfrm>
                    <a:prstGeom prst="rect">
                      <a:avLst/>
                    </a:prstGeom>
                    <a:noFill/>
                    <a:ln>
                      <a:noFill/>
                    </a:ln>
                  </pic:spPr>
                </pic:pic>
              </a:graphicData>
            </a:graphic>
          </wp:inline>
        </w:drawing>
      </w:r>
      <w:r>
        <w:rPr>
          <w:rFonts w:ascii="Times New Roman" w:hAnsi="Times New Roman" w:cs="Times New Roman"/>
          <w:sz w:val="20"/>
          <w:szCs w:val="20"/>
        </w:rPr>
        <w:t>, (51)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B6203A2" wp14:editId="7A3262B2">
            <wp:extent cx="200025" cy="2571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rPr>
          <w:rFonts w:ascii="Times New Roman" w:hAnsi="Times New Roman" w:cs="Times New Roman"/>
          <w:sz w:val="20"/>
          <w:szCs w:val="20"/>
        </w:rPr>
        <w:t xml:space="preserve"> - расчетный объем расходов на i-тый год на подключение объектов абонентов, не включая расходы на строительство сетей и объектов на них,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A0148D0" wp14:editId="1E534109">
            <wp:extent cx="2286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z w:val="20"/>
          <w:szCs w:val="20"/>
        </w:rPr>
        <w:t xml:space="preserve"> - расчетный объем подключаемой на i-тый год нагрузки (мощности), кроме мощности, подключаемой по индивидуально рассчитанной плате, куб. м/сут.</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63"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118. Ставка тарифа за протяженность водопроводной или канализационной сети устанавливается исходя из расходов регулируемой организации в централизованной системе водоснабжения и водоотведения на прокладку (перекладку) сетей водоснабжения и (или) водоотведения и объектов на них в соответствии со сметной стоимостью прокладываемых (перекладываемых) сетей и объектов на них, включая расходы на проектирование, с учетом уплаты налога на прибыль.</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119. В случае, если подключение осуществляется по нескольким водопроводным вводам или канализационным выпускам, ставка за протяженность водопроводной или канализационной сети рассчитывается с учетом прокладки сетей различного диаметра. Ставка тарифа за протяженность водопроводной или канализационной сети рассчитывается по формулам:</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AF2B847" wp14:editId="4C947CF8">
            <wp:extent cx="790575" cy="2381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790575" cy="238125"/>
                    </a:xfrm>
                    <a:prstGeom prst="rect">
                      <a:avLst/>
                    </a:prstGeom>
                    <a:noFill/>
                    <a:ln>
                      <a:noFill/>
                    </a:ln>
                  </pic:spPr>
                </pic:pic>
              </a:graphicData>
            </a:graphic>
          </wp:inline>
        </w:drawing>
      </w:r>
      <w:r>
        <w:rPr>
          <w:rFonts w:ascii="Times New Roman" w:hAnsi="Times New Roman" w:cs="Times New Roman"/>
          <w:sz w:val="20"/>
          <w:szCs w:val="20"/>
        </w:rPr>
        <w:t>, (52)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30"/>
          <w:sz w:val="20"/>
          <w:szCs w:val="20"/>
          <w:lang w:eastAsia="ru-RU"/>
        </w:rPr>
        <w:drawing>
          <wp:inline distT="0" distB="0" distL="0" distR="0" wp14:anchorId="778B15A0" wp14:editId="2DC98BAB">
            <wp:extent cx="1304925" cy="523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r>
        <w:rPr>
          <w:rFonts w:ascii="Times New Roman" w:hAnsi="Times New Roman" w:cs="Times New Roman"/>
          <w:sz w:val="20"/>
          <w:szCs w:val="20"/>
        </w:rPr>
        <w:t>, (52.1)</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7FFF25E" wp14:editId="2101D26C">
            <wp:extent cx="257175" cy="2571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hAnsi="Times New Roman" w:cs="Times New Roman"/>
          <w:sz w:val="20"/>
          <w:szCs w:val="20"/>
        </w:rPr>
        <w:t xml:space="preserve"> - ставка тарифа за протяженность водопроводной или канализационной сети диаметром d, тыс. руб./м;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5"/>
          <w:sz w:val="20"/>
          <w:szCs w:val="20"/>
          <w:lang w:eastAsia="ru-RU"/>
        </w:rPr>
        <w:drawing>
          <wp:inline distT="0" distB="0" distL="0" distR="0" wp14:anchorId="5DF23DA4" wp14:editId="3133B690">
            <wp:extent cx="257175" cy="190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Pr>
          <w:rFonts w:ascii="Times New Roman" w:hAnsi="Times New Roman" w:cs="Times New Roman"/>
          <w:sz w:val="20"/>
          <w:szCs w:val="20"/>
        </w:rPr>
        <w:t xml:space="preserve"> - базовая ставка тарифа за протяженность водопроводной или канализационной сети, тыс. руб./м;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7EF8110" wp14:editId="2A3718FB">
            <wp:extent cx="190500" cy="257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r>
        <w:rPr>
          <w:rFonts w:ascii="Times New Roman" w:hAnsi="Times New Roman" w:cs="Times New Roman"/>
          <w:sz w:val="20"/>
          <w:szCs w:val="20"/>
        </w:rPr>
        <w:t xml:space="preserve"> - расчетный объем расходов на подключение объектов абонентов в части строительства сетей диаметром d и объектов на них,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7"/>
          <w:sz w:val="20"/>
          <w:szCs w:val="20"/>
          <w:lang w:eastAsia="ru-RU"/>
        </w:rPr>
        <w:drawing>
          <wp:inline distT="0" distB="0" distL="0" distR="0" wp14:anchorId="1EC62AAE" wp14:editId="3360125B">
            <wp:extent cx="180975" cy="2286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hAnsi="Times New Roman" w:cs="Times New Roman"/>
          <w:sz w:val="20"/>
          <w:szCs w:val="20"/>
        </w:rPr>
        <w:t xml:space="preserve"> - коэффициент дифференциации стоимости строительства сетей в зависимости от их диаметра d, определенный в соответствии с </w:t>
      </w:r>
      <w:hyperlink w:anchor="Par242" w:history="1">
        <w:r>
          <w:rPr>
            <w:rFonts w:ascii="Times New Roman" w:hAnsi="Times New Roman" w:cs="Times New Roman"/>
            <w:color w:val="0000FF"/>
            <w:sz w:val="20"/>
            <w:szCs w:val="20"/>
          </w:rPr>
          <w:t>формулой (3.1)</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07ACE8EE" wp14:editId="0F70AAF6">
            <wp:extent cx="1905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w:hAnsi="Times New Roman" w:cs="Times New Roman"/>
          <w:sz w:val="20"/>
          <w:szCs w:val="20"/>
        </w:rPr>
        <w:t xml:space="preserve"> - протяженность создаваемой водопроводной или канализационной сети диаметром d, км;</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14:anchorId="705B5131" wp14:editId="7A46BCFC">
            <wp:extent cx="1905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rFonts w:ascii="Times New Roman" w:hAnsi="Times New Roman" w:cs="Times New Roman"/>
          <w:sz w:val="20"/>
          <w:szCs w:val="20"/>
        </w:rPr>
        <w:t xml:space="preserve"> - ставка налога на прибыль, определяемая в соответствии с Налоговым </w:t>
      </w:r>
      <w:hyperlink r:id="rId472"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473"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ФСТ России от 24.11.2014 N 2054-э)</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120. При расчете размера ставки за протяженность сети не учитываются средства, полученные на создание этих сетей и объектов на них, предусмотренные инвестиционной программой за счет иных источников, кроме платы за подключение, в том числе средств бюджетов бюджетной системы Российской Федерации.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121. В отношении заявителей, величина подключаемой (присоединяемой) нагрузки объектов которых превышает 250 куб. метров в сутки и (или) осуществляется с использованием создаваемых сетей водоснабжения и (или) водоотведения с наружным диаметром, превышающим 250 мм (предельный уровень нагрузки), размер платы за подключение устанавливается органом регулирования тарифов индивидуально с учетом расходов на увеличение мощности (пропускной способности) централизованных </w:t>
      </w:r>
      <w:r>
        <w:rPr>
          <w:rFonts w:ascii="Times New Roman" w:hAnsi="Times New Roman" w:cs="Times New Roman"/>
          <w:sz w:val="20"/>
          <w:szCs w:val="20"/>
        </w:rPr>
        <w:lastRenderedPageBreak/>
        <w:t>систем водоснабжения и (или) водоотведения, в том числе расходов на реконструкцию и (или) модернизацию существующих объектов централизованных систем водоснабжения и (или) водоотведения, а также расходов по уплате налога на прибыль.</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74" w:history="1">
        <w:r>
          <w:rPr>
            <w:rFonts w:ascii="Times New Roman" w:hAnsi="Times New Roman" w:cs="Times New Roman"/>
            <w:color w:val="0000FF"/>
            <w:sz w:val="20"/>
            <w:szCs w:val="20"/>
          </w:rPr>
          <w:t>Приказа</w:t>
        </w:r>
      </w:hyperlink>
      <w:r>
        <w:rPr>
          <w:rFonts w:ascii="Times New Roman" w:hAnsi="Times New Roman" w:cs="Times New Roman"/>
          <w:sz w:val="20"/>
          <w:szCs w:val="20"/>
        </w:rPr>
        <w:t xml:space="preserve"> ФАС России от 29.08.2017 N 1130/17)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92" w:name="Par1092"/>
      <w:bookmarkEnd w:id="92"/>
      <w:r>
        <w:rPr>
          <w:rFonts w:ascii="Times New Roman" w:hAnsi="Times New Roman" w:cs="Times New Roman"/>
          <w:sz w:val="20"/>
          <w:szCs w:val="20"/>
        </w:rPr>
        <w:t>Расходы на осуществление мероприятий по увеличению мощности (пропускной способности) централизованных систем водоснабжения и (или) водоотведения, в том числе расходы на реконструкцию и (или) модернизацию существующих объектов этих систем, финансирование которых предусмотрено за счет платы за подключение, устанавливаемой в индивидуальном порядке, не должны превышать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указанные расходы определяются органом регулирования тарифов с учетом представленной регулируемой организацией сметной стоимости таких работ.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122. При установлении платы за подключение (технологическое присоединение) к централизованной системе водоснабжения и (или) водоотведения в 2022 и 2023 годах не применяются положения </w:t>
      </w:r>
      <w:hyperlink w:anchor="Par1065" w:history="1">
        <w:r>
          <w:rPr>
            <w:rFonts w:ascii="Times New Roman" w:hAnsi="Times New Roman" w:cs="Times New Roman"/>
            <w:color w:val="0000FF"/>
            <w:sz w:val="20"/>
            <w:szCs w:val="20"/>
          </w:rPr>
          <w:t>абзаца девятого пункта 116</w:t>
        </w:r>
      </w:hyperlink>
      <w:r>
        <w:rPr>
          <w:rFonts w:ascii="Times New Roman" w:hAnsi="Times New Roman" w:cs="Times New Roman"/>
          <w:sz w:val="20"/>
          <w:szCs w:val="20"/>
        </w:rPr>
        <w:t xml:space="preserve"> и </w:t>
      </w:r>
      <w:hyperlink w:anchor="Par1092" w:history="1">
        <w:r>
          <w:rPr>
            <w:rFonts w:ascii="Times New Roman" w:hAnsi="Times New Roman" w:cs="Times New Roman"/>
            <w:color w:val="0000FF"/>
            <w:sz w:val="20"/>
            <w:szCs w:val="20"/>
          </w:rPr>
          <w:t>абзаца второго пункта 121</w:t>
        </w:r>
      </w:hyperlink>
      <w:r>
        <w:rPr>
          <w:rFonts w:ascii="Times New Roman" w:hAnsi="Times New Roman" w:cs="Times New Roman"/>
          <w:sz w:val="20"/>
          <w:szCs w:val="20"/>
        </w:rPr>
        <w:t xml:space="preserve"> Методических указаний в части непревышения величины, рассчитанной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122 введен </w:t>
      </w:r>
      <w:hyperlink r:id="rId475" w:history="1">
        <w:r>
          <w:rPr>
            <w:rFonts w:ascii="Times New Roman" w:hAnsi="Times New Roman" w:cs="Times New Roman"/>
            <w:color w:val="0000FF"/>
            <w:sz w:val="20"/>
            <w:szCs w:val="20"/>
          </w:rPr>
          <w:t>Приказом</w:t>
        </w:r>
      </w:hyperlink>
      <w:r>
        <w:rPr>
          <w:rFonts w:ascii="Times New Roman" w:hAnsi="Times New Roman" w:cs="Times New Roman"/>
          <w:sz w:val="20"/>
          <w:szCs w:val="20"/>
        </w:rPr>
        <w:t xml:space="preserve"> ФАС России от 24.06.2022 N 478/22)</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76"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hyperlink r:id="rId477"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ФАС России от 08.10.2020 N 976/20)</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93" w:name="Par1109"/>
      <w:bookmarkEnd w:id="93"/>
      <w:r>
        <w:rPr>
          <w:rFonts w:ascii="Times New Roman" w:hAnsi="Times New Roman" w:cs="Times New Roman"/>
          <w:sz w:val="20"/>
          <w:szCs w:val="20"/>
        </w:rPr>
        <w:t>Баланс водоснабжения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Нумерация граф в таблице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color w:val="392C69"/>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5280"/>
        <w:gridCol w:w="1417"/>
        <w:gridCol w:w="782"/>
        <w:gridCol w:w="720"/>
        <w:gridCol w:w="725"/>
        <w:gridCol w:w="719"/>
        <w:gridCol w:w="729"/>
        <w:gridCol w:w="716"/>
        <w:gridCol w:w="864"/>
        <w:gridCol w:w="861"/>
        <w:gridCol w:w="964"/>
      </w:tblGrid>
      <w:tr w:rsidR="00383934">
        <w:tc>
          <w:tcPr>
            <w:tcW w:w="113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528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502"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(i-4)</w:t>
            </w:r>
          </w:p>
        </w:tc>
        <w:tc>
          <w:tcPr>
            <w:tcW w:w="1444"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44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72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96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113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28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96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Водоподготовка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из источников водоснабжения: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из поверхностных источников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из подземных источников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rPr>
                <w:rFonts w:ascii="Times New Roman" w:hAnsi="Times New Roman" w:cs="Times New Roman"/>
                <w:sz w:val="20"/>
                <w:szCs w:val="20"/>
              </w:rPr>
            </w:pPr>
            <w:r>
              <w:rPr>
                <w:rFonts w:ascii="Times New Roman" w:hAnsi="Times New Roman" w:cs="Times New Roman"/>
                <w:sz w:val="20"/>
                <w:szCs w:val="20"/>
              </w:rPr>
              <w:t>доочищенная сточная вода для нужд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прошедшей водоподготовку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технической воды, поданной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питьевой воды, поданной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Приготовление горячей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воды из собственных источников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приобретенной питьевой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горячей воды, поданной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306"/>
              <w:rPr>
                <w:rFonts w:ascii="Times New Roman" w:hAnsi="Times New Roman" w:cs="Times New Roman"/>
                <w:sz w:val="20"/>
                <w:szCs w:val="20"/>
              </w:rPr>
            </w:pPr>
            <w:r>
              <w:rPr>
                <w:rFonts w:ascii="Times New Roman" w:hAnsi="Times New Roman" w:cs="Times New Roman"/>
                <w:sz w:val="20"/>
                <w:szCs w:val="20"/>
              </w:rPr>
              <w:t>Транспортировка питьевой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поступившей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из собственных источников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 других операторов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3.1.3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rPr>
                <w:rFonts w:ascii="Times New Roman" w:hAnsi="Times New Roman" w:cs="Times New Roman"/>
                <w:sz w:val="20"/>
                <w:szCs w:val="20"/>
              </w:rPr>
            </w:pPr>
            <w:r>
              <w:rPr>
                <w:rFonts w:ascii="Times New Roman" w:hAnsi="Times New Roman" w:cs="Times New Roman"/>
                <w:sz w:val="20"/>
                <w:szCs w:val="20"/>
              </w:rPr>
              <w:t>получено от других территорий, дифференцированных по тарифу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Потери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Потребление на собственные нужды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отпущенной из сети</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Передано на другие территории, дифференцированные по тарифу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Транспортировка технической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поступившей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Потери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Потребление на собственные нужды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отпущенной из сети</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5</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Транспортировка горячей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поступившей в сеть</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Потери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Потребление на собственные нужды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отпущенной из сети</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6</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Отпуск питьевой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126"/>
              <w:jc w:val="both"/>
              <w:rPr>
                <w:rFonts w:ascii="Times New Roman" w:hAnsi="Times New Roman" w:cs="Times New Roman"/>
                <w:sz w:val="20"/>
                <w:szCs w:val="20"/>
              </w:rPr>
            </w:pPr>
            <w:r>
              <w:rPr>
                <w:rFonts w:ascii="Times New Roman" w:hAnsi="Times New Roman" w:cs="Times New Roman"/>
                <w:sz w:val="20"/>
                <w:szCs w:val="20"/>
              </w:rPr>
              <w:t>Объем воды, отпущенной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 приборам учета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 нормативам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6.2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06"/>
              <w:jc w:val="both"/>
              <w:rPr>
                <w:rFonts w:ascii="Times New Roman" w:hAnsi="Times New Roman" w:cs="Times New Roman"/>
                <w:sz w:val="20"/>
                <w:szCs w:val="20"/>
              </w:rPr>
            </w:pPr>
            <w:r>
              <w:rPr>
                <w:rFonts w:ascii="Times New Roman" w:hAnsi="Times New Roman" w:cs="Times New Roman"/>
                <w:sz w:val="20"/>
                <w:szCs w:val="20"/>
              </w:rPr>
              <w:t>для приготовления горячей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06"/>
              <w:jc w:val="both"/>
              <w:rPr>
                <w:rFonts w:ascii="Times New Roman" w:hAnsi="Times New Roman" w:cs="Times New Roman"/>
                <w:sz w:val="20"/>
                <w:szCs w:val="20"/>
              </w:rPr>
            </w:pPr>
            <w:r>
              <w:rPr>
                <w:rFonts w:ascii="Times New Roman" w:hAnsi="Times New Roman" w:cs="Times New Roman"/>
                <w:sz w:val="20"/>
                <w:szCs w:val="20"/>
              </w:rPr>
              <w:t>при дифференциации тарифов по объему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пределах i-го объема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06"/>
              <w:jc w:val="both"/>
              <w:rPr>
                <w:rFonts w:ascii="Times New Roman" w:hAnsi="Times New Roman" w:cs="Times New Roman"/>
                <w:sz w:val="20"/>
                <w:szCs w:val="20"/>
              </w:rPr>
            </w:pPr>
            <w:r>
              <w:rPr>
                <w:rFonts w:ascii="Times New Roman" w:hAnsi="Times New Roman" w:cs="Times New Roman"/>
                <w:sz w:val="20"/>
                <w:szCs w:val="20"/>
              </w:rPr>
              <w:t>По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rPr>
                <w:rFonts w:ascii="Times New Roman" w:hAnsi="Times New Roman" w:cs="Times New Roman"/>
                <w:sz w:val="20"/>
                <w:szCs w:val="20"/>
              </w:rPr>
            </w:pPr>
            <w:r>
              <w:rPr>
                <w:rFonts w:ascii="Times New Roman" w:hAnsi="Times New Roman" w:cs="Times New Roman"/>
                <w:sz w:val="20"/>
                <w:szCs w:val="20"/>
              </w:rPr>
              <w:t>другим организациям, осуществляющим водоснабжение</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1</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2</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6.4.1.n</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n</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собственным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7</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Отпуск технической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Объем воды, отпущенной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при дифференциации тарифов по объему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пределах i-го объема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По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rPr>
                <w:rFonts w:ascii="Times New Roman" w:hAnsi="Times New Roman" w:cs="Times New Roman"/>
                <w:sz w:val="20"/>
                <w:szCs w:val="20"/>
              </w:rPr>
            </w:pPr>
            <w:r>
              <w:rPr>
                <w:rFonts w:ascii="Times New Roman" w:hAnsi="Times New Roman" w:cs="Times New Roman"/>
                <w:sz w:val="20"/>
                <w:szCs w:val="20"/>
              </w:rPr>
              <w:t>другим организациям, осуществляющим водоснабжение</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1</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2</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7.3.1.n</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n</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собственным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lastRenderedPageBreak/>
              <w:t>8</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Отпуск горячей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Объем воды, отпущенной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8.2.1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 приборам учета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8.2.2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 нормативам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соответствии с санитарными нормами</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 нарушениями санитарных норм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8.3.2.1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по температуре</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8.3.2.2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по качеству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при дифференциации тарифов по объему</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8.4.1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пределах i-го объема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По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rPr>
                <w:rFonts w:ascii="Times New Roman" w:hAnsi="Times New Roman" w:cs="Times New Roman"/>
                <w:sz w:val="20"/>
                <w:szCs w:val="20"/>
              </w:rPr>
            </w:pPr>
            <w:r>
              <w:rPr>
                <w:rFonts w:ascii="Times New Roman" w:hAnsi="Times New Roman" w:cs="Times New Roman"/>
                <w:sz w:val="20"/>
                <w:szCs w:val="20"/>
              </w:rPr>
              <w:t>другим организациям, осуществляющим водоснабжение</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1</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8.5.1.2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2</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8.5.1.n</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n</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собственным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8.6</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Объем тепловой энергии, реализуемой абонентам в целях оказания услуги горячего водоснабжения: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Гкал</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8.6.1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по приборам учета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Гкал</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8.6.2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по нормативам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Гкал</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lastRenderedPageBreak/>
              <w:t>9</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воды, отпускаемой новым абонентам</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Увеличение отпуска питьевой воды в связи с подключением абонентов</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9.2</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Снижение отпуска питьевой воды в связи с прекращением водоснабжения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10</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Изменение объема отпуска питьевой воды в связи с изменением нормативов потребления и установкой приборов учета</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11</w:t>
            </w:r>
          </w:p>
        </w:tc>
        <w:tc>
          <w:tcPr>
            <w:tcW w:w="52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Темп изменения потребления воды</w:t>
            </w:r>
          </w:p>
        </w:tc>
        <w:tc>
          <w:tcPr>
            <w:tcW w:w="141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1.1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78"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94" w:name="Par2089"/>
      <w:bookmarkEnd w:id="94"/>
      <w:r>
        <w:rPr>
          <w:rFonts w:ascii="Times New Roman" w:hAnsi="Times New Roman" w:cs="Times New Roman"/>
          <w:sz w:val="20"/>
          <w:szCs w:val="20"/>
        </w:rPr>
        <w:t>Баланс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5272"/>
        <w:gridCol w:w="1435"/>
        <w:gridCol w:w="864"/>
        <w:gridCol w:w="720"/>
        <w:gridCol w:w="710"/>
        <w:gridCol w:w="720"/>
        <w:gridCol w:w="720"/>
        <w:gridCol w:w="710"/>
        <w:gridCol w:w="715"/>
        <w:gridCol w:w="854"/>
        <w:gridCol w:w="1077"/>
      </w:tblGrid>
      <w:tr w:rsidR="00383934">
        <w:tc>
          <w:tcPr>
            <w:tcW w:w="113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5272"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3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584"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(i-4)</w:t>
            </w:r>
          </w:p>
        </w:tc>
        <w:tc>
          <w:tcPr>
            <w:tcW w:w="143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43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69"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07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113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272"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07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3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Прием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Объем сточных вод, принятых у абонентов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пределах норматива по объему</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сверх норматива по объему</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По категориям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жидких бытовых отходов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поверхностных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от абонентов, которым установлены тарифы</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от других абонентов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 нормируемых абонентов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 многоквартирных домов и приравненных к ним</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 прочих абонентов, в том числе:</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категория абонентов 1</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категория абонентов 2</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1.2.5.n</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категория абонентов n</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По абонентам</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 других организаций, осуществляющих водоотведение</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1</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2</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1.3.1.n</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846"/>
              <w:jc w:val="both"/>
              <w:rPr>
                <w:rFonts w:ascii="Times New Roman" w:hAnsi="Times New Roman" w:cs="Times New Roman"/>
                <w:sz w:val="20"/>
                <w:szCs w:val="20"/>
              </w:rPr>
            </w:pPr>
            <w:r>
              <w:rPr>
                <w:rFonts w:ascii="Times New Roman" w:hAnsi="Times New Roman" w:cs="Times New Roman"/>
                <w:sz w:val="20"/>
                <w:szCs w:val="20"/>
              </w:rPr>
              <w:t>организация n</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1.3.2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 собственных абонентов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Неучтенный приток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Организованный приток</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Неорганизованный приток</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rPr>
                <w:rFonts w:ascii="Times New Roman" w:hAnsi="Times New Roman" w:cs="Times New Roman"/>
                <w:sz w:val="20"/>
                <w:szCs w:val="20"/>
              </w:rPr>
            </w:pPr>
            <w:r>
              <w:rPr>
                <w:rFonts w:ascii="Times New Roman" w:hAnsi="Times New Roman" w:cs="Times New Roman"/>
                <w:sz w:val="20"/>
                <w:szCs w:val="20"/>
              </w:rPr>
              <w:t>Поступило с территорий, дифференцированных по тарифу</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транспортируемых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На собственные очистные сооружения</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Другим организациям</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сточных вод, поступивших на очистные сооружения</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Объем сточных вод, прошедших очистку</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26"/>
              <w:jc w:val="both"/>
              <w:rPr>
                <w:rFonts w:ascii="Times New Roman" w:hAnsi="Times New Roman" w:cs="Times New Roman"/>
                <w:sz w:val="20"/>
                <w:szCs w:val="20"/>
              </w:rPr>
            </w:pPr>
            <w:r>
              <w:rPr>
                <w:rFonts w:ascii="Times New Roman" w:hAnsi="Times New Roman" w:cs="Times New Roman"/>
                <w:sz w:val="20"/>
                <w:szCs w:val="20"/>
              </w:rPr>
              <w:t>Сбросы сточных вод в пределах нормативов и лимитов</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обезвоженного осадка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113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52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Темп изменения объема отводимых сточных вод</w:t>
            </w:r>
          </w:p>
        </w:tc>
        <w:tc>
          <w:tcPr>
            <w:tcW w:w="143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79"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строки 1.1 и 1.6 приложения 2 вносятся изменения (</w:t>
            </w:r>
            <w:hyperlink r:id="rId480"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jc w:val="center"/>
        <w:rPr>
          <w:rFonts w:ascii="Times New Roman" w:hAnsi="Times New Roman" w:cs="Times New Roman"/>
          <w:sz w:val="20"/>
          <w:szCs w:val="20"/>
        </w:rPr>
      </w:pPr>
      <w:r>
        <w:rPr>
          <w:rFonts w:ascii="Times New Roman" w:hAnsi="Times New Roman" w:cs="Times New Roman"/>
          <w:sz w:val="20"/>
          <w:szCs w:val="20"/>
        </w:rPr>
        <w:t>Смета расходов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402"/>
        <w:gridCol w:w="1048"/>
        <w:gridCol w:w="755"/>
        <w:gridCol w:w="737"/>
        <w:gridCol w:w="854"/>
        <w:gridCol w:w="737"/>
        <w:gridCol w:w="850"/>
      </w:tblGrid>
      <w:tr w:rsidR="00383934">
        <w:tc>
          <w:tcPr>
            <w:tcW w:w="68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3402"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4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492"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91"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8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68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402"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04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8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Производственные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приобретение сырья и материалов и их хранение</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Реагенты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Горюче-смазочные материалы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Материалы и малоценные основные средства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энергетические ресурсы и холодную воду</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электроэнергия</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теплоэнергия</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теплоноситель</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топливо</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холодная вода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оплату работ и услуг, выполняемых сторонними организациями и индивидуальными предпринимателями, связанные с эксплуатацией централизованных систем либо объектов в составе таких систем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 xml:space="preserve">Расходы на оплату труда и отчисления на социальные нужды основного производственного </w:t>
            </w:r>
            <w:r>
              <w:rPr>
                <w:rFonts w:ascii="Times New Roman" w:hAnsi="Times New Roman" w:cs="Times New Roman"/>
                <w:sz w:val="20"/>
                <w:szCs w:val="20"/>
              </w:rPr>
              <w:lastRenderedPageBreak/>
              <w:t>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1.4.1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23"/>
              <w:jc w:val="both"/>
              <w:rPr>
                <w:rFonts w:ascii="Times New Roman" w:hAnsi="Times New Roman" w:cs="Times New Roman"/>
                <w:sz w:val="20"/>
                <w:szCs w:val="20"/>
              </w:rPr>
            </w:pPr>
            <w:r>
              <w:rPr>
                <w:rFonts w:ascii="Times New Roman" w:hAnsi="Times New Roman" w:cs="Times New Roman"/>
                <w:sz w:val="20"/>
                <w:szCs w:val="20"/>
              </w:rPr>
              <w:t>Расходы на оплату труда производственного персонала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Отчисления на социальные нужды производственного 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уплату процентов по займам и кредитам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Общехозяйственные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Прочие производственные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Услуги по обращению с осадком сточных вод</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амортизацию автотранспорта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Контроль качества воды и сточных вод</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аварийно-диспетчерское обслуживание</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Ремонтные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текущий ремонт централизованных систем водоснабжения и (или) водоотведения либо объектов, входящих в состав таких систем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капитальный ремонт централизованных систем водоснабжения и (или) водоотведения либо объектов, входящих в состав таких систем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оплату труда и отчисления на социальные нужды ремонтного 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труда ремонтного персонала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Отчисления на социальные нужды ремонтного 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Административные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оплату работ и услуг, выполняемых сторонними организациями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услуги связи и интернет</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юридические услуги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аудиторские услуги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3.1.4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консультационные услуги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услуги по вневедомственной охране объектов и территорий</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3.1.6</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информационные услуги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оплату труда и отчисления на социальные нужды административно-управленческого 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труда административно-управленческого персонала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Отчисления на социальные нужды административно-управленческого персонала, в том числе налоги и сборы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Арендная плата, лизинговые платежи, не связанные с арендой (лизингом) централизованных систем водоснабжения и (или) водоотведения либо объектов, входящих в состав таких систем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Служебные командировки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Обучение персонала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Страхование производственных объектов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Прочие административные расходы</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амортизацию непроизводственных активов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по охране объектов и территорий</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Сбытовые расходы гарантирующих организаций</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по сомнительным долгам, в размере не более 2% НВВ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Амортизация</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Амортизация основных средств и нематериальных активов, относимых к объектам централизованной системы водоснабжения и водоотведения</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Расходы на арендную плату, лизинговые платежи, концессионную плату</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Аренда имущества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Концессионная плата</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Лизинговые платежи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6.4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Аренда земельных участков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Расходы, связанные с уплатой налогов и сборов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Налог на прибыль</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Налог на имущество организаций</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Плата за негативное воздействие на окружающую среду</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7.4</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Водный налог и плата за пользование водным объектом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Земельный налог</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7.6</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Транспортный налог</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7.7</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Прочие налоги и сборы, за исключением налогов и сборов с фонда оплаты труда, учитываемых в составе производственных, ремонтных и административных расходов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Нормативная прибыль</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8.1</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Средства на возврат займов и кредитов и процентов по ним</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8.2</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Расходы на капитальные вложения</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 xml:space="preserve">Расходы на социальные нужды, предусмотренные коллективными договорами, в соответствии с </w:t>
            </w:r>
            <w:hyperlink w:anchor="Par233" w:history="1">
              <w:r>
                <w:rPr>
                  <w:rFonts w:ascii="Times New Roman" w:hAnsi="Times New Roman" w:cs="Times New Roman"/>
                  <w:color w:val="0000FF"/>
                  <w:sz w:val="20"/>
                  <w:szCs w:val="20"/>
                </w:rPr>
                <w:t>подпунктом 3 пункта 31</w:t>
              </w:r>
            </w:hyperlink>
            <w:r>
              <w:rPr>
                <w:rFonts w:ascii="Times New Roman" w:hAnsi="Times New Roman" w:cs="Times New Roman"/>
                <w:sz w:val="20"/>
                <w:szCs w:val="20"/>
              </w:rPr>
              <w:t xml:space="preserve"> Методических указаний</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63"/>
              <w:jc w:val="both"/>
              <w:rPr>
                <w:rFonts w:ascii="Times New Roman" w:hAnsi="Times New Roman" w:cs="Times New Roman"/>
                <w:sz w:val="20"/>
                <w:szCs w:val="20"/>
              </w:rPr>
            </w:pPr>
            <w:r>
              <w:rPr>
                <w:rFonts w:ascii="Times New Roman" w:hAnsi="Times New Roman" w:cs="Times New Roman"/>
                <w:sz w:val="20"/>
                <w:szCs w:val="20"/>
              </w:rPr>
              <w:t>Расчетная предпринимательская прибыль гарантирующей организации</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3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Итого НВВ</w:t>
            </w:r>
          </w:p>
        </w:tc>
        <w:tc>
          <w:tcPr>
            <w:tcW w:w="104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5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95" w:name="Par3111"/>
      <w:bookmarkEnd w:id="95"/>
      <w:r>
        <w:rPr>
          <w:rFonts w:ascii="Times New Roman" w:hAnsi="Times New Roman" w:cs="Times New Roman"/>
          <w:sz w:val="20"/>
          <w:szCs w:val="20"/>
        </w:rPr>
        <w:t>Расходы на сырье и материалы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1984"/>
        <w:gridCol w:w="1484"/>
        <w:gridCol w:w="724"/>
        <w:gridCol w:w="724"/>
        <w:gridCol w:w="724"/>
        <w:gridCol w:w="794"/>
        <w:gridCol w:w="1374"/>
        <w:gridCol w:w="1524"/>
        <w:gridCol w:w="1454"/>
      </w:tblGrid>
      <w:tr w:rsidR="00383934">
        <w:tc>
          <w:tcPr>
            <w:tcW w:w="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198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8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448"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18"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37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Темп роста, текущий (7) / истекший (5), % </w:t>
            </w:r>
            <w:hyperlink w:anchor="Par3167" w:history="1">
              <w:r>
                <w:rPr>
                  <w:rFonts w:ascii="Times New Roman" w:hAnsi="Times New Roman" w:cs="Times New Roman"/>
                  <w:color w:val="0000FF"/>
                  <w:sz w:val="20"/>
                  <w:szCs w:val="20"/>
                </w:rPr>
                <w:t>&lt;*&gt;</w:t>
              </w:r>
            </w:hyperlink>
          </w:p>
        </w:tc>
        <w:tc>
          <w:tcPr>
            <w:tcW w:w="1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c>
          <w:tcPr>
            <w:tcW w:w="145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Темп роста, очередной (9) / текущий (7), % </w:t>
            </w:r>
            <w:hyperlink w:anchor="Par3167" w:history="1">
              <w:r>
                <w:rPr>
                  <w:rFonts w:ascii="Times New Roman" w:hAnsi="Times New Roman" w:cs="Times New Roman"/>
                  <w:color w:val="0000FF"/>
                  <w:sz w:val="20"/>
                  <w:szCs w:val="20"/>
                </w:rPr>
                <w:t>&lt;*&gt;</w:t>
              </w:r>
            </w:hyperlink>
          </w:p>
        </w:tc>
      </w:tr>
      <w:tr w:rsidR="00383934">
        <w:tc>
          <w:tcPr>
            <w:tcW w:w="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8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7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5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7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4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Реагенты</w:t>
            </w:r>
          </w:p>
        </w:tc>
        <w:tc>
          <w:tcPr>
            <w:tcW w:w="14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7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Горюче-смазочные материалы</w:t>
            </w:r>
          </w:p>
        </w:tc>
        <w:tc>
          <w:tcPr>
            <w:tcW w:w="14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7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Материалы и малоценные основные средства</w:t>
            </w:r>
          </w:p>
        </w:tc>
        <w:tc>
          <w:tcPr>
            <w:tcW w:w="14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7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96" w:name="Par3167"/>
      <w:bookmarkEnd w:id="96"/>
      <w:r>
        <w:rPr>
          <w:rFonts w:ascii="Times New Roman" w:hAnsi="Times New Roman" w:cs="Times New Roman"/>
          <w:sz w:val="20"/>
          <w:szCs w:val="20"/>
        </w:rPr>
        <w:t xml:space="preserve">1. Расходы на реагенты, а также другие расходы на сырье и материалы, которые составляют более 5 процентов общей величины расходов на сырье и материалы, указываются в </w:t>
      </w:r>
      <w:hyperlink w:anchor="Par3178" w:history="1">
        <w:r>
          <w:rPr>
            <w:rFonts w:ascii="Times New Roman" w:hAnsi="Times New Roman" w:cs="Times New Roman"/>
            <w:color w:val="0000FF"/>
            <w:sz w:val="20"/>
            <w:szCs w:val="20"/>
          </w:rPr>
          <w:t>приложении 2.1.1</w:t>
        </w:r>
      </w:hyperlink>
      <w:r>
        <w:rPr>
          <w:rFonts w:ascii="Times New Roman" w:hAnsi="Times New Roman" w:cs="Times New Roman"/>
          <w:sz w:val="20"/>
          <w:szCs w:val="20"/>
        </w:rPr>
        <w:t>.</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97" w:name="Par3178"/>
      <w:bookmarkEnd w:id="97"/>
      <w:r>
        <w:rPr>
          <w:rFonts w:ascii="Times New Roman" w:hAnsi="Times New Roman" w:cs="Times New Roman"/>
          <w:sz w:val="20"/>
          <w:szCs w:val="20"/>
        </w:rPr>
        <w:t>Расходы на сырье и материалы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4290"/>
        <w:gridCol w:w="1650"/>
        <w:gridCol w:w="825"/>
        <w:gridCol w:w="990"/>
        <w:gridCol w:w="825"/>
        <w:gridCol w:w="825"/>
        <w:gridCol w:w="1650"/>
      </w:tblGrid>
      <w:tr w:rsidR="00383934">
        <w:tc>
          <w:tcPr>
            <w:tcW w:w="11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2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11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2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lastRenderedPageBreak/>
              <w:t>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Реагенты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реагентов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 (ед. изм.)</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за тонну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Суммарные затраты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1.n</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реагентов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1.n + 1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горюче-смазочные материалы, превышающие 5 процентов общей величины расходов на сырье и материалы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ГСМ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 (ед. изм.)</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за единицу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Суммарные затраты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2.n</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ГСМ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материалы и малоценные основные средства, превышающие 5 процентов общей величины расходов на сырье и материалы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материалов и малоценных основных средств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 (ед. изм.)</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за единицу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3.1.3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Суммарные затраты</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3.n</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материалов и малоценных основных средств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2.1.2</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98" w:name="Par3360"/>
      <w:bookmarkEnd w:id="98"/>
      <w:r>
        <w:rPr>
          <w:rFonts w:ascii="Times New Roman" w:hAnsi="Times New Roman" w:cs="Times New Roman"/>
          <w:sz w:val="20"/>
          <w:szCs w:val="20"/>
        </w:rPr>
        <w:t>Расходы на приобретение электрической энергии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0"/>
        <w:gridCol w:w="4455"/>
        <w:gridCol w:w="1650"/>
        <w:gridCol w:w="825"/>
        <w:gridCol w:w="825"/>
        <w:gridCol w:w="990"/>
        <w:gridCol w:w="825"/>
        <w:gridCol w:w="1320"/>
      </w:tblGrid>
      <w:tr w:rsidR="00383934">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4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4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энергии</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энергии по одноставочному тарифу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Без разбивки по напряжению</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электроэнергии по двухставочному тарифу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Мощность</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1.2.1.2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1.2.1.3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1.3.1.4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1.3.1.5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Активная электроэнергия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1.2.2.5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электроэнергию и мощность</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по одноставочному тарифу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активную электроэнергию без разбивки по напряжению</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2.1.6</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Средний одноставочный тариф на электрическую энергию</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 двухставочному тарифу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ставка за мощность</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электроэнергию по двухставочному тарифу</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2.2.2.5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энергии</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мощности</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электроэнергию всего</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2.1.3</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81"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ФАС России от 29.10.2019 N 1438/19)</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на приобретение тепловой энергии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2778"/>
        <w:gridCol w:w="1440"/>
        <w:gridCol w:w="900"/>
        <w:gridCol w:w="900"/>
        <w:gridCol w:w="900"/>
        <w:gridCol w:w="900"/>
        <w:gridCol w:w="1440"/>
      </w:tblGrid>
      <w:tr w:rsidR="00383934">
        <w:tc>
          <w:tcPr>
            <w:tcW w:w="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277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4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0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0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44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77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44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99" w:name="Par3782"/>
            <w:bookmarkEnd w:id="99"/>
            <w:r>
              <w:rPr>
                <w:rFonts w:ascii="Times New Roman" w:hAnsi="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00" w:name="Par3783"/>
            <w:bookmarkEnd w:id="100"/>
            <w:r>
              <w:rPr>
                <w:rFonts w:ascii="Times New Roman" w:hAnsi="Times New Roman" w:cs="Times New Roman"/>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энергии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Гкал</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Мощность</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Гкал/ч</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Ставка за энергию</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руб./Гкал</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Ставка за мощность</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руб./Гкал/ч</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энергии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мощности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теплоэнергию, всего</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Примечание:</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w:t>
      </w:r>
      <w:hyperlink w:anchor="Par3782" w:history="1">
        <w:r>
          <w:rPr>
            <w:rFonts w:ascii="Times New Roman" w:hAnsi="Times New Roman" w:cs="Times New Roman"/>
            <w:color w:val="0000FF"/>
            <w:sz w:val="20"/>
            <w:szCs w:val="20"/>
          </w:rPr>
          <w:t>графах 3</w:t>
        </w:r>
      </w:hyperlink>
      <w:r>
        <w:rPr>
          <w:rFonts w:ascii="Times New Roman" w:hAnsi="Times New Roman" w:cs="Times New Roman"/>
          <w:sz w:val="20"/>
          <w:szCs w:val="20"/>
        </w:rPr>
        <w:t xml:space="preserve"> и </w:t>
      </w:r>
      <w:hyperlink w:anchor="Par3783" w:history="1">
        <w:r>
          <w:rPr>
            <w:rFonts w:ascii="Times New Roman" w:hAnsi="Times New Roman" w:cs="Times New Roman"/>
            <w:color w:val="0000FF"/>
            <w:sz w:val="20"/>
            <w:szCs w:val="20"/>
          </w:rPr>
          <w:t>4</w:t>
        </w:r>
      </w:hyperlink>
      <w:r>
        <w:rPr>
          <w:rFonts w:ascii="Times New Roman" w:hAnsi="Times New Roman" w:cs="Times New Roman"/>
          <w:sz w:val="20"/>
          <w:szCs w:val="20"/>
        </w:rPr>
        <w:t xml:space="preserve"> таблицы ставки за энергию и мощность после окончания переходного периода в ценовых зонах теплоснабжения определяются как цены на тепловую энергию (мощность), определенные сторонами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482" w:history="1">
        <w:r>
          <w:rPr>
            <w:rFonts w:ascii="Times New Roman" w:hAnsi="Times New Roman" w:cs="Times New Roman"/>
            <w:color w:val="0000FF"/>
            <w:sz w:val="20"/>
            <w:szCs w:val="20"/>
          </w:rPr>
          <w:t>частях 2.1</w:t>
        </w:r>
      </w:hyperlink>
      <w:r>
        <w:rPr>
          <w:rFonts w:ascii="Times New Roman" w:hAnsi="Times New Roman" w:cs="Times New Roman"/>
          <w:sz w:val="20"/>
          <w:szCs w:val="20"/>
        </w:rPr>
        <w:t xml:space="preserve"> - </w:t>
      </w:r>
      <w:hyperlink r:id="rId483" w:history="1">
        <w:r>
          <w:rPr>
            <w:rFonts w:ascii="Times New Roman" w:hAnsi="Times New Roman" w:cs="Times New Roman"/>
            <w:color w:val="0000FF"/>
            <w:sz w:val="20"/>
            <w:szCs w:val="20"/>
          </w:rPr>
          <w:t>2.3 статьи 8</w:t>
        </w:r>
      </w:hyperlink>
      <w:r>
        <w:rPr>
          <w:rFonts w:ascii="Times New Roman" w:hAnsi="Times New Roman" w:cs="Times New Roman"/>
          <w:sz w:val="20"/>
          <w:szCs w:val="20"/>
        </w:rPr>
        <w:t xml:space="preserve"> и </w:t>
      </w:r>
      <w:hyperlink r:id="rId484" w:history="1">
        <w:r>
          <w:rPr>
            <w:rFonts w:ascii="Times New Roman" w:hAnsi="Times New Roman" w:cs="Times New Roman"/>
            <w:color w:val="0000FF"/>
            <w:sz w:val="20"/>
            <w:szCs w:val="20"/>
          </w:rPr>
          <w:t>12.1</w:t>
        </w:r>
      </w:hyperlink>
      <w:r>
        <w:rPr>
          <w:rFonts w:ascii="Times New Roman" w:hAnsi="Times New Roman" w:cs="Times New Roman"/>
          <w:sz w:val="20"/>
          <w:szCs w:val="20"/>
        </w:rPr>
        <w:t xml:space="preserve"> - </w:t>
      </w:r>
      <w:hyperlink r:id="rId485" w:history="1">
        <w:r>
          <w:rPr>
            <w:rFonts w:ascii="Times New Roman" w:hAnsi="Times New Roman" w:cs="Times New Roman"/>
            <w:color w:val="0000FF"/>
            <w:sz w:val="20"/>
            <w:szCs w:val="20"/>
          </w:rPr>
          <w:t>12.4 статьи 10</w:t>
        </w:r>
      </w:hyperlink>
      <w:r>
        <w:rPr>
          <w:rFonts w:ascii="Times New Roman" w:hAnsi="Times New Roman" w:cs="Times New Roman"/>
          <w:sz w:val="20"/>
          <w:szCs w:val="20"/>
        </w:rPr>
        <w:t xml:space="preserve"> Федерального закона N 190-ФЗ.</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2.1.4</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на приобретение теплоносителя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2772"/>
        <w:gridCol w:w="1428"/>
        <w:gridCol w:w="910"/>
        <w:gridCol w:w="909"/>
        <w:gridCol w:w="882"/>
        <w:gridCol w:w="910"/>
        <w:gridCol w:w="1442"/>
      </w:tblGrid>
      <w:tr w:rsidR="00383934">
        <w:tc>
          <w:tcPr>
            <w:tcW w:w="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2772"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2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19"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792"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442"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772"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2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442"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теплоносителя</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теплоносителя</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руб./куб. м</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теплоноситель</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277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42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2.1.5</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на приобретение топлива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290"/>
        <w:gridCol w:w="1650"/>
        <w:gridCol w:w="990"/>
        <w:gridCol w:w="825"/>
        <w:gridCol w:w="990"/>
        <w:gridCol w:w="990"/>
        <w:gridCol w:w="1650"/>
      </w:tblGrid>
      <w:tr w:rsidR="00383934">
        <w:tc>
          <w:tcPr>
            <w:tcW w:w="82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2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98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82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2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Уголь</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(объем)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топливо</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Газ</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(объем)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топливо</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lastRenderedPageBreak/>
              <w:t>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Мазут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Количество (объем)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топлива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42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топливо</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2.1.6</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1" w:name="Par4077"/>
      <w:bookmarkEnd w:id="101"/>
      <w:r>
        <w:rPr>
          <w:rFonts w:ascii="Times New Roman" w:hAnsi="Times New Roman" w:cs="Times New Roman"/>
          <w:sz w:val="20"/>
          <w:szCs w:val="20"/>
        </w:rPr>
        <w:t>Расходы на приобретение холодной воды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2598"/>
        <w:gridCol w:w="1620"/>
        <w:gridCol w:w="900"/>
        <w:gridCol w:w="900"/>
        <w:gridCol w:w="900"/>
        <w:gridCol w:w="1033"/>
        <w:gridCol w:w="1307"/>
      </w:tblGrid>
      <w:tr w:rsidR="00383934">
        <w:tc>
          <w:tcPr>
            <w:tcW w:w="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259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0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933"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30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59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0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холодной воды</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холодную воду</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руб./куб. м</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холодную воду</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25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6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33"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3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2.2</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2" w:name="Par4147"/>
      <w:bookmarkEnd w:id="102"/>
      <w:r>
        <w:rPr>
          <w:rFonts w:ascii="Times New Roman" w:hAnsi="Times New Roman" w:cs="Times New Roman"/>
          <w:sz w:val="20"/>
          <w:szCs w:val="20"/>
        </w:rPr>
        <w:t>Расходы</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 оплату труда в целом по регулируемым видам деятельности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5115"/>
        <w:gridCol w:w="1155"/>
        <w:gridCol w:w="825"/>
        <w:gridCol w:w="825"/>
        <w:gridCol w:w="825"/>
        <w:gridCol w:w="825"/>
        <w:gridCol w:w="1650"/>
      </w:tblGrid>
      <w:tr w:rsidR="00383934">
        <w:tc>
          <w:tcPr>
            <w:tcW w:w="9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511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1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9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11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Производственный персонал</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Численность (среднесписочная), принятая для расчета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Средняя оплата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роста номинальной заработной 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 с учетом дефлятора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Средний тарифный коэффициент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Среднемесячная тарифная ставка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Минимальный размер оплаты труда по отраслевому тарифному соглашению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Выплаты, связанные с режимом работы и условиями труда на 1 работника в месяц</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Текущее премирование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Доп. премирование, включая вознаграждение за выслугу лет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прочее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северные надбавки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среднемесячная оплата труда на 1 работника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Фонд оплаты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Расчет средств на оплату труда (прибыль)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Льготный проезд к месту отдыха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w:t>
            </w:r>
            <w:hyperlink r:id="rId486" w:history="1">
              <w:r>
                <w:rPr>
                  <w:rFonts w:ascii="Times New Roman" w:hAnsi="Times New Roman" w:cs="Times New Roman"/>
                  <w:color w:val="0000FF"/>
                  <w:sz w:val="20"/>
                  <w:szCs w:val="20"/>
                </w:rPr>
                <w:t>постановлению</w:t>
              </w:r>
            </w:hyperlink>
            <w:r>
              <w:rPr>
                <w:rFonts w:ascii="Times New Roman" w:hAnsi="Times New Roman" w:cs="Times New Roman"/>
                <w:sz w:val="20"/>
                <w:szCs w:val="20"/>
              </w:rPr>
              <w:t xml:space="preserve"> Правительства Российской Федерации от 03.11.1994 N 1206 </w:t>
            </w:r>
            <w:hyperlink w:anchor="Par4842" w:history="1">
              <w:r>
                <w:rPr>
                  <w:rFonts w:ascii="Times New Roman" w:hAnsi="Times New Roman" w:cs="Times New Roman"/>
                  <w:color w:val="0000FF"/>
                  <w:sz w:val="20"/>
                  <w:szCs w:val="20"/>
                </w:rPr>
                <w:t>&lt;*&gt;</w:t>
              </w:r>
            </w:hyperlink>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Компенсационные и социальные выплаты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средств на оплату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Страховые взносы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Ремонтный персонал</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Численность (среднесписочная), принятая для расчета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Средняя оплата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роста номинальной заработной 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 с учетом дефлятора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Средний тарифный коэффициент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Среднемесячная тарифная ставка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Минимальный размер оплаты труда по отраслевому тарифному соглашению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Выплаты, связанные с режимом работы и условиями труда на 1 работника в месяц</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Текущее премирование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Доп. премирование, включая вознаграждение за выслугу лет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прочее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северные надбавки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2.10</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среднемесячная оплата труда на 1 работника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Фонд оплаты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Расчет средств на оплату труда (прибыль)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Льготный проезд к месту отдыха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w:t>
            </w:r>
            <w:hyperlink r:id="rId487" w:history="1">
              <w:r>
                <w:rPr>
                  <w:rFonts w:ascii="Times New Roman" w:hAnsi="Times New Roman" w:cs="Times New Roman"/>
                  <w:color w:val="0000FF"/>
                  <w:sz w:val="20"/>
                  <w:szCs w:val="20"/>
                </w:rPr>
                <w:t>постановлению</w:t>
              </w:r>
            </w:hyperlink>
            <w:r>
              <w:rPr>
                <w:rFonts w:ascii="Times New Roman" w:hAnsi="Times New Roman" w:cs="Times New Roman"/>
                <w:sz w:val="20"/>
                <w:szCs w:val="20"/>
              </w:rPr>
              <w:t xml:space="preserve"> Правительства Российской Федерации от 03.11.1994 N 1206 </w:t>
            </w:r>
            <w:hyperlink w:anchor="Par4842" w:history="1">
              <w:r>
                <w:rPr>
                  <w:rFonts w:ascii="Times New Roman" w:hAnsi="Times New Roman" w:cs="Times New Roman"/>
                  <w:color w:val="0000FF"/>
                  <w:sz w:val="20"/>
                  <w:szCs w:val="20"/>
                </w:rPr>
                <w:t>&lt;*&gt;</w:t>
              </w:r>
            </w:hyperlink>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Компенсационные и социальные выплаты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средств на оплату труда ремонтного персонала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Страховые взносы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outlineLvl w:val="2"/>
              <w:rPr>
                <w:rFonts w:ascii="Times New Roman" w:hAnsi="Times New Roman" w:cs="Times New Roman"/>
                <w:sz w:val="20"/>
                <w:szCs w:val="20"/>
              </w:rPr>
            </w:pPr>
            <w:r>
              <w:rPr>
                <w:rFonts w:ascii="Times New Roman" w:hAnsi="Times New Roman" w:cs="Times New Roman"/>
                <w:sz w:val="20"/>
                <w:szCs w:val="20"/>
              </w:rPr>
              <w:t>Административный персонал</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Численность (среднесписочная), принятая для расчета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Средняя оплата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роста номинальной заработной 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Тарифная ставка рабочего 1 разряда с учетом дефлятора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Средний тарифный коэффициент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Среднемесячная тарифная ставка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Минимальный размер оплаты труда по ОТС</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Выплаты, связанные с режимом работы и условиями труда на 1 работника в месяц</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Текущее премирование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Доп. премирование, включая вознаграждение за выслугу лет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сумма выплат</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прочее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2.9.4</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северные надбавки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среднемесячная оплата труда на 1 работника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Фонд оплаты труда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Расчет средств на оплату труда (прибыль)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Льготный проезд к месту отдыха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w:t>
            </w:r>
            <w:hyperlink r:id="rId488" w:history="1">
              <w:r>
                <w:rPr>
                  <w:rFonts w:ascii="Times New Roman" w:hAnsi="Times New Roman" w:cs="Times New Roman"/>
                  <w:color w:val="0000FF"/>
                  <w:sz w:val="20"/>
                  <w:szCs w:val="20"/>
                </w:rPr>
                <w:t>постановлению</w:t>
              </w:r>
            </w:hyperlink>
            <w:r>
              <w:rPr>
                <w:rFonts w:ascii="Times New Roman" w:hAnsi="Times New Roman" w:cs="Times New Roman"/>
                <w:sz w:val="20"/>
                <w:szCs w:val="20"/>
              </w:rPr>
              <w:t xml:space="preserve"> Правительства Российской Федерации от 03.11.1994 N 1206 </w:t>
            </w:r>
            <w:hyperlink w:anchor="Par4842" w:history="1">
              <w:r>
                <w:rPr>
                  <w:rFonts w:ascii="Times New Roman" w:hAnsi="Times New Roman" w:cs="Times New Roman"/>
                  <w:color w:val="0000FF"/>
                  <w:sz w:val="20"/>
                  <w:szCs w:val="20"/>
                </w:rPr>
                <w:t>&lt;*&gt;</w:t>
              </w:r>
            </w:hyperlink>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Компенсационные и социальные выплаты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средств на оплату труда административного персонала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51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Страховые взносы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bookmarkStart w:id="103" w:name="Par4842"/>
      <w:bookmarkEnd w:id="103"/>
      <w:r>
        <w:rPr>
          <w:rFonts w:ascii="Times New Roman" w:hAnsi="Times New Roman" w:cs="Times New Roman"/>
          <w:sz w:val="20"/>
          <w:szCs w:val="20"/>
        </w:rPr>
        <w:lastRenderedPageBreak/>
        <w:t xml:space="preserve">&lt;*&gt; </w:t>
      </w:r>
      <w:hyperlink r:id="rId489"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3 ноября 1994 г. N 1206 (Собрание законодательства Российской Федерации, 1994, N 29, ст. 3035; 2003, N 33, ст. 3269; 2006, N 33, ст. 3633; 2012, N 22, ст. 2867; 2013, N 13, ст. 1559; 2013, N 22, ст. 2809) (далее - Постановление Правительства Российской Федерации от 03.11.1994 N 1206).</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Примечание: Заполняется на основании данных, определенных в соответствии с </w:t>
      </w:r>
      <w:hyperlink w:anchor="Par123" w:history="1">
        <w:r>
          <w:rPr>
            <w:rFonts w:ascii="Times New Roman" w:hAnsi="Times New Roman" w:cs="Times New Roman"/>
            <w:color w:val="0000FF"/>
            <w:sz w:val="20"/>
            <w:szCs w:val="20"/>
          </w:rPr>
          <w:t>пунктом 16</w:t>
        </w:r>
      </w:hyperlink>
      <w:r>
        <w:rPr>
          <w:rFonts w:ascii="Times New Roman" w:hAnsi="Times New Roman" w:cs="Times New Roman"/>
          <w:sz w:val="20"/>
          <w:szCs w:val="20"/>
        </w:rPr>
        <w:t xml:space="preserve"> настоящих Методических указаний.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2.2.1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4" w:name="Par4855"/>
      <w:bookmarkEnd w:id="104"/>
      <w:r>
        <w:rPr>
          <w:rFonts w:ascii="Times New Roman" w:hAnsi="Times New Roman" w:cs="Times New Roman"/>
          <w:sz w:val="20"/>
          <w:szCs w:val="20"/>
        </w:rPr>
        <w:t>Расходы</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 оплату труда в разрезе регулируемых видов деятельности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455"/>
        <w:gridCol w:w="1650"/>
        <w:gridCol w:w="990"/>
        <w:gridCol w:w="825"/>
        <w:gridCol w:w="825"/>
        <w:gridCol w:w="990"/>
        <w:gridCol w:w="1650"/>
      </w:tblGrid>
      <w:tr w:rsidR="00383934">
        <w:tc>
          <w:tcPr>
            <w:tcW w:w="82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4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82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4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Производственный персонал</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1.n</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2</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Ремонтный персонал</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2.n</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3</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Административный персонал</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1</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3.n</w:t>
            </w:r>
          </w:p>
        </w:tc>
        <w:tc>
          <w:tcPr>
            <w:tcW w:w="44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Регулируемый вид деятельности n</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2.3</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Амортизация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4950"/>
        <w:gridCol w:w="1650"/>
        <w:gridCol w:w="825"/>
        <w:gridCol w:w="990"/>
        <w:gridCol w:w="825"/>
        <w:gridCol w:w="990"/>
        <w:gridCol w:w="1320"/>
      </w:tblGrid>
      <w:tr w:rsidR="00383934">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9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6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9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Первоначальная (восстановительная) стоимость на начало периода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Ввод основных фондов</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Выбытие основных фондов</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Первоначальная (восстановительная) стоимость на конец периода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Среднегодовая стоимость</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6</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Средняя норма амортизационных отчислений</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7</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 амортизационных отчислений</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8</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Переоценка на 31.12.XX.</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Сооружения и 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Транспорт</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6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2.4</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Источники финансирования капитальных вложений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4950"/>
        <w:gridCol w:w="1320"/>
        <w:gridCol w:w="825"/>
        <w:gridCol w:w="990"/>
        <w:gridCol w:w="825"/>
        <w:gridCol w:w="990"/>
        <w:gridCol w:w="1320"/>
      </w:tblGrid>
      <w:tr w:rsidR="00383934">
        <w:tc>
          <w:tcPr>
            <w:tcW w:w="9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9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(i-2)</w:t>
            </w:r>
          </w:p>
        </w:tc>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9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9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капитальных вложений</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забор и подъем воды</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водоподготовку</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транспортировку воды</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транспортировку сточных вод</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очистку сточных вод</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 обращение с осадком сточных вод</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капитальных вложений</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Амортизация</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переоценка основных средств</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Прибыль</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дополнительные доходы</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Займы и кредиты</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Бюджетные средства</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федерального бюджета</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регионального бюджета</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местного бюджета</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Плата за подключение</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Прочее</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Учтено при установлении тарифов</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Амортизация</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Прибыль</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Введено в эксплуатацию</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3</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Индексы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0"/>
        <w:gridCol w:w="3795"/>
        <w:gridCol w:w="990"/>
        <w:gridCol w:w="825"/>
        <w:gridCol w:w="825"/>
        <w:gridCol w:w="825"/>
        <w:gridCol w:w="825"/>
        <w:gridCol w:w="660"/>
        <w:gridCol w:w="660"/>
        <w:gridCol w:w="660"/>
        <w:gridCol w:w="660"/>
        <w:gridCol w:w="660"/>
      </w:tblGrid>
      <w:tr w:rsidR="00383934">
        <w:tc>
          <w:tcPr>
            <w:tcW w:w="198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379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9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 ница изме- рений</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198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79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роста номинальной заработной платы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электрическую энергию</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Цена электрической энергии</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Одноставочный тариф</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3.1.1.3</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3.1.1.4</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3.1.1.5</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без разбивки по напряжению</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Двуставочный тариф</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активную электроэнергию при двухставочном тарифе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3.1.2.1.1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3.1.2.1.2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3.1.2.1.3</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3.1.2.1.4</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3.1.2.1.5</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тыс.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Цена на мощность</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3.1.2.2.3</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3.1.2.2.4</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3.1.2.2.5</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покупную воду</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питьевую воду</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техническую воду</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горячую воду</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тепловую энергию</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Цена тепловой энергии</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тепловую мощность</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Цена тепловой мощности</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теплоноситель</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Цена на теплоноситель</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цен на топливо</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8.1</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вид топлива 1</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9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8.n</w:t>
            </w:r>
          </w:p>
        </w:tc>
        <w:tc>
          <w:tcPr>
            <w:tcW w:w="379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вид топлива n</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4</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90"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Расчет</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тарифа методом экономически обоснованных расходов (затрат)</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3458"/>
        <w:gridCol w:w="1077"/>
        <w:gridCol w:w="715"/>
        <w:gridCol w:w="710"/>
        <w:gridCol w:w="725"/>
        <w:gridCol w:w="845"/>
        <w:gridCol w:w="794"/>
        <w:gridCol w:w="794"/>
        <w:gridCol w:w="794"/>
        <w:gridCol w:w="794"/>
        <w:gridCol w:w="794"/>
      </w:tblGrid>
      <w:tr w:rsidR="00383934">
        <w:tc>
          <w:tcPr>
            <w:tcW w:w="90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345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7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42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7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90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45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4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1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4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Необходимая валовая выручка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Производственные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Ремонтные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Административные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Сбытовые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Амортизация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Арендная и концессионная плата, лизинговые платежи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Налоги и сборы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Нормативная прибыль</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Расчетная предпринимательская прибыль гарантирующей организации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Недополученные доходы/расходы прошлых периодов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Экономически обоснованные расходы, не учтенные органом регулирования тарифов при установлении тарифов на ее товары (работы, услуги) в прошлом периоде</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2.2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Недополученные доходы прошлых периодов регулирования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Расходы, связанные с обслуживанием заемных средств и собственных средств, направляемых на покрытие недостатка средств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Итого НВВ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Объем водоснабжения (водоотведения)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Тариф на водоснабжение (водоотведение)</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куб. м</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Темп роста тарифа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5</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91"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ФАС России от 08.10.2020 N 976/20)</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Расчет тарифа методом сравнения аналогов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948"/>
        <w:gridCol w:w="1426"/>
        <w:gridCol w:w="790"/>
        <w:gridCol w:w="790"/>
        <w:gridCol w:w="790"/>
        <w:gridCol w:w="792"/>
        <w:gridCol w:w="794"/>
      </w:tblGrid>
      <w:tr w:rsidR="00383934">
        <w:tc>
          <w:tcPr>
            <w:tcW w:w="73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294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26"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58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82"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73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94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426"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Протяженность сети регулируемой организации, определенная в сопоставимых величинах</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усл. км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протяженность сети регулируемой организации</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Удельные текущие расходы</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руб./усл. км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Текущие расходы гарантирующей организации, включая</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электрическую энергию</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Протяженность сети гарантирующей организации, определенная в сопоставимых величинах</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усл. км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Нормативный уровень расходов на амортизацию основных средств и нематериальных активов, относимых к объектам централизованной системы водоснабжения и (или) водоотведения</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руб./усл. км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Норматив амортизации</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Необходимая валовая выручка</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транспортируемой холодной воды (сточных вод)</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транспортировку холодной воды (сточных вод)</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руб./куб. м</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6.1</w:t>
            </w:r>
          </w:p>
        </w:tc>
        <w:tc>
          <w:tcPr>
            <w:tcW w:w="294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Темп роста тарифа</w:t>
            </w:r>
          </w:p>
        </w:tc>
        <w:tc>
          <w:tcPr>
            <w:tcW w:w="142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5.1</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(введено </w:t>
            </w:r>
            <w:hyperlink r:id="rId492" w:history="1">
              <w:r>
                <w:rPr>
                  <w:rFonts w:ascii="Times New Roman" w:hAnsi="Times New Roman" w:cs="Times New Roman"/>
                  <w:color w:val="0000FF"/>
                  <w:sz w:val="20"/>
                  <w:szCs w:val="20"/>
                </w:rPr>
                <w:t>Приказом</w:t>
              </w:r>
            </w:hyperlink>
            <w:r>
              <w:rPr>
                <w:rFonts w:ascii="Times New Roman" w:hAnsi="Times New Roman" w:cs="Times New Roman"/>
                <w:color w:val="392C69"/>
                <w:sz w:val="20"/>
                <w:szCs w:val="20"/>
              </w:rPr>
              <w:t xml:space="preserve"> ФАС России от 08.10.2020 N 976/20)</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5" w:name="Par6492"/>
      <w:bookmarkEnd w:id="105"/>
      <w:r>
        <w:rPr>
          <w:rFonts w:ascii="Times New Roman" w:hAnsi="Times New Roman" w:cs="Times New Roman"/>
          <w:sz w:val="20"/>
          <w:szCs w:val="20"/>
        </w:rPr>
        <w:t>Протяженность водопроводной (канализационной) сети,</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определенная в сопоставимых величинах</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1077"/>
        <w:gridCol w:w="1814"/>
        <w:gridCol w:w="1421"/>
        <w:gridCol w:w="1587"/>
        <w:gridCol w:w="2414"/>
      </w:tblGrid>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Диаметр трубы, мм</w:t>
            </w: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Протяженность водопроводной (канализационной) сети, км</w:t>
            </w: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Средняя стоимость строительства 1 км трубопровода, тыс. руб.</w:t>
            </w: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Коэффициент дифференциации стоимости строительства сетей</w:t>
            </w: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Протяженность водопроводной (канализационной) сети, определенная в сопоставимых величинах, усл. км</w:t>
            </w: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Всего</w:t>
            </w: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24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Приложение заполняется гарантирующей организацией за истекший год (i-2) для каждой централизованной системы водоснабжения и (или) водоотведения, в которой имеются сети организаций, осуществляющих транспортировку холодной воды, сточных вод абонентов гарантирующей организации.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Приложение заполняется органом регулирования тарифов за истекший год (i-2), текущий год (i-1), очередной год i по каждой регулируемой организации, установление тарифов для которых осуществляется с применением метода сравнения аналогов.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Данные о протяженности заполняются в километрах с точностью три знака после запятой.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5.2</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(введено </w:t>
            </w:r>
            <w:hyperlink r:id="rId493" w:history="1">
              <w:r>
                <w:rPr>
                  <w:rFonts w:ascii="Times New Roman" w:hAnsi="Times New Roman" w:cs="Times New Roman"/>
                  <w:color w:val="0000FF"/>
                  <w:sz w:val="20"/>
                  <w:szCs w:val="20"/>
                </w:rPr>
                <w:t>Приказом</w:t>
              </w:r>
            </w:hyperlink>
            <w:r>
              <w:rPr>
                <w:rFonts w:ascii="Times New Roman" w:hAnsi="Times New Roman" w:cs="Times New Roman"/>
                <w:color w:val="392C69"/>
                <w:sz w:val="20"/>
                <w:szCs w:val="20"/>
              </w:rPr>
              <w:t xml:space="preserve"> ФАС России от 08.10.2020 N 976/20)</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6" w:name="Par6563"/>
      <w:bookmarkEnd w:id="106"/>
      <w:r>
        <w:rPr>
          <w:rFonts w:ascii="Times New Roman" w:hAnsi="Times New Roman" w:cs="Times New Roman"/>
          <w:sz w:val="20"/>
          <w:szCs w:val="20"/>
        </w:rPr>
        <w:t>Протяженность водопроводной (канализационной) сети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69"/>
        <w:gridCol w:w="3031"/>
        <w:gridCol w:w="1714"/>
        <w:gridCol w:w="1714"/>
        <w:gridCol w:w="1716"/>
      </w:tblGrid>
      <w:tr w:rsidR="00383934">
        <w:tc>
          <w:tcPr>
            <w:tcW w:w="869"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3031"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Диаметр трубы, мм</w:t>
            </w:r>
          </w:p>
        </w:tc>
        <w:tc>
          <w:tcPr>
            <w:tcW w:w="5144" w:type="dxa"/>
            <w:gridSpan w:val="3"/>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Протяженность водопроводной (канализационной) сети, км</w:t>
            </w:r>
          </w:p>
        </w:tc>
      </w:tr>
      <w:tr w:rsidR="00383934">
        <w:tc>
          <w:tcPr>
            <w:tcW w:w="869"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031"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Всего</w:t>
            </w: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6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303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716"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Приложение заполняется регулируемой организацией, осуществляющей транспортировку холодной воды и (или) транспортировку сточных вод, по каждой централизованной системе холодного водоснабжения и (или) водоотведения.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Данные о протяженности заполняются в километрах с точностью три знака после запятой.</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94"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Расчет</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тарифа методом доходности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3458"/>
        <w:gridCol w:w="1077"/>
        <w:gridCol w:w="715"/>
        <w:gridCol w:w="720"/>
        <w:gridCol w:w="720"/>
        <w:gridCol w:w="850"/>
        <w:gridCol w:w="794"/>
        <w:gridCol w:w="794"/>
        <w:gridCol w:w="794"/>
        <w:gridCol w:w="794"/>
        <w:gridCol w:w="737"/>
      </w:tblGrid>
      <w:tr w:rsidR="00383934">
        <w:tc>
          <w:tcPr>
            <w:tcW w:w="90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345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7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43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7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73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90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45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3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Необходимая валовая выручка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Текущие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Операционные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эффективности расходов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количества активов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Расходы на электрическую энергию</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Неподконтрольные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Возврат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Полная величина инвестированного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Срок возврата инвестированного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лет</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Доход на инвестированный капитал</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Первоначальный размер инвестированного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Доходность первоначального размера инвестированного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1.3.3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База инвестированного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53"/>
              <w:jc w:val="both"/>
              <w:rPr>
                <w:rFonts w:ascii="Times New Roman" w:hAnsi="Times New Roman" w:cs="Times New Roman"/>
                <w:sz w:val="20"/>
                <w:szCs w:val="20"/>
              </w:rPr>
            </w:pPr>
            <w:r>
              <w:rPr>
                <w:rFonts w:ascii="Times New Roman" w:hAnsi="Times New Roman" w:cs="Times New Roman"/>
                <w:sz w:val="20"/>
                <w:szCs w:val="20"/>
              </w:rPr>
              <w:t>Чистый оборотный капитал</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1.3.4.1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Норматив чистого оборотного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 доходности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1.3.5.1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 доходности нового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1.3.5.2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 доходности старого капитала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Корректировка НВВ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Отклонение фактически достигнутого уровня неподконтрольных расходов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Ввод объектов системы водоснабжения и (или) водоотведения в эксплуатацию и изменение утвержденной инвестиционной программы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 xml:space="preserve">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w:t>
            </w:r>
            <w:r>
              <w:rPr>
                <w:rFonts w:ascii="Times New Roman" w:hAnsi="Times New Roman" w:cs="Times New Roman"/>
                <w:sz w:val="20"/>
                <w:szCs w:val="20"/>
              </w:rPr>
              <w:lastRenderedPageBreak/>
              <w:t>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2.5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Изменение доходности долгосрочных государственных обязательств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Итого НВВ для расчета тарифа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Тариф на водоснабжение (водоотведение)</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руб./куб. м</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Объем водоснабжения (водоотведения)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0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73"/>
              <w:jc w:val="both"/>
              <w:rPr>
                <w:rFonts w:ascii="Times New Roman" w:hAnsi="Times New Roman" w:cs="Times New Roman"/>
                <w:sz w:val="20"/>
                <w:szCs w:val="20"/>
              </w:rPr>
            </w:pPr>
            <w:r>
              <w:rPr>
                <w:rFonts w:ascii="Times New Roman" w:hAnsi="Times New Roman" w:cs="Times New Roman"/>
                <w:sz w:val="20"/>
                <w:szCs w:val="20"/>
              </w:rPr>
              <w:t>Темп роста тарифа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в строки 1.1.1 и 1.1.5 приложения 6.1 вносятся изменения (</w:t>
            </w:r>
            <w:hyperlink r:id="rId495" w:history="1">
              <w:r>
                <w:rPr>
                  <w:rFonts w:ascii="Times New Roman" w:hAnsi="Times New Roman" w:cs="Times New Roman"/>
                  <w:color w:val="0000FF"/>
                  <w:sz w:val="20"/>
                  <w:szCs w:val="20"/>
                </w:rPr>
                <w:t>Приказ</w:t>
              </w:r>
            </w:hyperlink>
            <w:r>
              <w:rPr>
                <w:rFonts w:ascii="Times New Roman" w:hAnsi="Times New Roman" w:cs="Times New Roman"/>
                <w:color w:val="392C69"/>
                <w:sz w:val="20"/>
                <w:szCs w:val="20"/>
              </w:rPr>
              <w:t xml:space="preserve"> ФАС России от 15.07.2024 N 473/24).</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before="260" w:after="0" w:line="240" w:lineRule="auto"/>
        <w:jc w:val="center"/>
        <w:rPr>
          <w:rFonts w:ascii="Times New Roman" w:hAnsi="Times New Roman" w:cs="Times New Roman"/>
          <w:sz w:val="20"/>
          <w:szCs w:val="20"/>
        </w:rPr>
      </w:pPr>
      <w:r>
        <w:rPr>
          <w:rFonts w:ascii="Times New Roman" w:hAnsi="Times New Roman" w:cs="Times New Roman"/>
          <w:sz w:val="20"/>
          <w:szCs w:val="20"/>
        </w:rPr>
        <w:t>Базовый уровень операционных расходов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0"/>
        <w:gridCol w:w="4950"/>
        <w:gridCol w:w="990"/>
        <w:gridCol w:w="990"/>
        <w:gridCol w:w="825"/>
        <w:gridCol w:w="825"/>
        <w:gridCol w:w="990"/>
        <w:gridCol w:w="1320"/>
      </w:tblGrid>
      <w:tr w:rsidR="00383934">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9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99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Очередной год (i)</w:t>
            </w:r>
          </w:p>
        </w:tc>
      </w:tr>
      <w:tr w:rsidR="00383934">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49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outlineLvl w:val="2"/>
              <w:rPr>
                <w:rFonts w:ascii="Times New Roman" w:hAnsi="Times New Roman" w:cs="Times New Roman"/>
                <w:sz w:val="20"/>
                <w:szCs w:val="20"/>
              </w:rPr>
            </w:pPr>
            <w:r>
              <w:rPr>
                <w:rFonts w:ascii="Times New Roman" w:hAnsi="Times New Roman" w:cs="Times New Roman"/>
                <w:sz w:val="20"/>
                <w:szCs w:val="20"/>
              </w:rPr>
              <w:t>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Операционные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Производственные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приобретение сырья и материалов и их хранение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оплату регулируемыми организациями выполняемых сторонними организациями работ и (или) услуг</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оплату труда и отчисления на социальные нужды основного производственного персонала, в том числе: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1.1.3.1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налоги и сборы с фонда оплаты труда</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уплату процентов по займам и кредитам</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общехозяйственные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прочие производственные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амортизацию автотранспорта</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обезвоживание, обезвреживание и захоронение осадка сточных вод</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1.1.6.3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приобретение (использование) вспомогательных материалов, запасных частей</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эксплуатацию, техническое обслуживание и ремонт автотранспорта</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1.1.6.5</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осуществление производственного контроля качества воды и производственного контроля состава и свойств сточных вод расходы на осуществление производственного контроля качества воды и производственного контроля состава и свойств сточных вод</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1.1.6.6</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567"/>
              <w:rPr>
                <w:rFonts w:ascii="Times New Roman" w:hAnsi="Times New Roman" w:cs="Times New Roman"/>
                <w:sz w:val="20"/>
                <w:szCs w:val="20"/>
              </w:rPr>
            </w:pPr>
            <w:r>
              <w:rPr>
                <w:rFonts w:ascii="Times New Roman" w:hAnsi="Times New Roman" w:cs="Times New Roman"/>
                <w:sz w:val="20"/>
                <w:szCs w:val="20"/>
              </w:rPr>
              <w:t>расходы на аварийно-диспетчерское обслуживание</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Ремонтные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Административные расходы</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Сбытовые расходы гарантирующей организации</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1.4.1</w:t>
            </w:r>
          </w:p>
        </w:tc>
        <w:tc>
          <w:tcPr>
            <w:tcW w:w="49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резерв по сомнительным долгам гарантирующей организации</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6.2</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на электрическую энергию</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0"/>
        <w:gridCol w:w="2805"/>
        <w:gridCol w:w="1155"/>
        <w:gridCol w:w="825"/>
        <w:gridCol w:w="825"/>
        <w:gridCol w:w="990"/>
        <w:gridCol w:w="825"/>
        <w:gridCol w:w="660"/>
        <w:gridCol w:w="660"/>
        <w:gridCol w:w="660"/>
        <w:gridCol w:w="825"/>
        <w:gridCol w:w="660"/>
      </w:tblGrid>
      <w:tr w:rsidR="00383934">
        <w:tc>
          <w:tcPr>
            <w:tcW w:w="132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280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1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82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132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80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электроэнергию, всего</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Удельное потребление электрической энергии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кВт-ч/ куб. м</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кВт-ч/ куб. м</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кВт-ч/ куб. м</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кВт-ч/ куб. м</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кВт-ч/ куб. м</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энергии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энергии по одноставочному тарифу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3.1.5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Без разбивки по напряжению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покупной электроэнергии по двухставочному тарифу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Мощность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3.2.1.5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Активная электроэнергия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млн.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электроэнергию и мощность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по одноставочному тарифу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активную электроэнергию без разбивки по напряжению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Средний одноставочный тариф на электрическую энергию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 двухставочному тарифу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Ставка за мощность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МВт в мес.</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электроэнергию по двухставочному тарифу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низкое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1</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среднее напряжение 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10.4</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высокое напряжение</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генерация напряжения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кВт-ч</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энергии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покупку мощности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Затраты на электроэнергию, всего</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13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280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Поставщик</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6.3</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Приказов ФАС России от 30.06.2017 </w:t>
            </w:r>
            <w:hyperlink r:id="rId496" w:history="1">
              <w:r>
                <w:rPr>
                  <w:rFonts w:ascii="Times New Roman" w:hAnsi="Times New Roman" w:cs="Times New Roman"/>
                  <w:color w:val="0000FF"/>
                  <w:sz w:val="20"/>
                  <w:szCs w:val="20"/>
                </w:rPr>
                <w:t>N 868/17</w:t>
              </w:r>
            </w:hyperlink>
            <w:r>
              <w:rPr>
                <w:rFonts w:ascii="Times New Roman" w:hAnsi="Times New Roman" w:cs="Times New Roman"/>
                <w:color w:val="392C69"/>
                <w:sz w:val="20"/>
                <w:szCs w:val="20"/>
              </w:rPr>
              <w:t>,</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08.10.2020 </w:t>
            </w:r>
            <w:hyperlink r:id="rId497" w:history="1">
              <w:r>
                <w:rPr>
                  <w:rFonts w:ascii="Times New Roman" w:hAnsi="Times New Roman" w:cs="Times New Roman"/>
                  <w:color w:val="0000FF"/>
                  <w:sz w:val="20"/>
                  <w:szCs w:val="20"/>
                </w:rPr>
                <w:t>N 976/20</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Неподконтрольные расходы</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300"/>
        <w:gridCol w:w="1155"/>
        <w:gridCol w:w="825"/>
        <w:gridCol w:w="825"/>
        <w:gridCol w:w="990"/>
        <w:gridCol w:w="825"/>
        <w:gridCol w:w="660"/>
        <w:gridCol w:w="660"/>
        <w:gridCol w:w="660"/>
        <w:gridCol w:w="825"/>
        <w:gridCol w:w="660"/>
      </w:tblGrid>
      <w:tr w:rsidR="00383934">
        <w:tc>
          <w:tcPr>
            <w:tcW w:w="82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330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15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65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815"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825"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66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82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30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Неподконтрольные расходы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Реагенты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оплату товаров (услуг, работ), приобретаемых у других организаций</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тепловую энергию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теплоноситель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транспортировку воды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на покупку воды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холодному водоснабжению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транспортировке холодной воды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горячему водоснабжению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приготовлению воды на нужды горячего водоснабжения</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транспортировке горячей воды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3.10</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водоотведению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Услуги по транспортировке сточных вод</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Налоги и сборы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Налог на прибыль</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Налог на имущество организаций</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Земельный налог и арендная плата за землю</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Водный налог</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Плата за пользование водным объектом</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4.6</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Транспортный налог</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Плата за негативное воздействие на окружающую среду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Прочие налоги и сборы</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мероприятия по защите централизованных систем водоснабжения и (или)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(за исключением мероприятий, включенных в инвестиционную программу)</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Арендная и концессионная плата, лизинговые платежи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Резерв по сомнительным долгам гарантирующей организации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Сбытовые расходы гарантирующей организации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Экономия расходов</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обслуживание бесхозяйных сетей</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компенсацию экономически обоснованных расходов</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Займы и кредиты (для метода индексации)</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Возврат займов и кредитов</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Проценты по займам и кредитам</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33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left="283"/>
              <w:rPr>
                <w:rFonts w:ascii="Times New Roman" w:hAnsi="Times New Roman" w:cs="Times New Roman"/>
                <w:sz w:val="20"/>
                <w:szCs w:val="20"/>
              </w:rPr>
            </w:pPr>
            <w:r>
              <w:rPr>
                <w:rFonts w:ascii="Times New Roman" w:hAnsi="Times New Roman" w:cs="Times New Roman"/>
                <w:sz w:val="20"/>
                <w:szCs w:val="20"/>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115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25"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6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6.5</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498"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ФАС России от 08.10.2020 N 976/20)</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Индекс изменения количества активов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2268"/>
        <w:gridCol w:w="884"/>
        <w:gridCol w:w="680"/>
        <w:gridCol w:w="624"/>
        <w:gridCol w:w="624"/>
        <w:gridCol w:w="737"/>
        <w:gridCol w:w="544"/>
        <w:gridCol w:w="544"/>
        <w:gridCol w:w="544"/>
        <w:gridCol w:w="544"/>
        <w:gridCol w:w="544"/>
      </w:tblGrid>
      <w:tr w:rsidR="00383934">
        <w:tc>
          <w:tcPr>
            <w:tcW w:w="52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226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88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304"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361"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54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54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54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54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54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52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8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54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4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4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4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54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изменения количества активов</w:t>
            </w:r>
          </w:p>
        </w:tc>
        <w:tc>
          <w:tcPr>
            <w:tcW w:w="8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Изменение количества условных километров водопроводной (канализационной) сети</w:t>
            </w:r>
          </w:p>
        </w:tc>
        <w:tc>
          <w:tcPr>
            <w:tcW w:w="8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Изменение операционных расходов на водоподготовку, очистку сточных вод, связанное с вводом в эксплуатацию нового объекта водоподготовки, включая резервуары воды, очистки сточных вод в году i</w:t>
            </w:r>
          </w:p>
        </w:tc>
        <w:tc>
          <w:tcPr>
            <w:tcW w:w="8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Индекс эффективности операционных расходов</w:t>
            </w:r>
          </w:p>
        </w:tc>
        <w:tc>
          <w:tcPr>
            <w:tcW w:w="8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54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6.6</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07" w:name="Par8421"/>
      <w:bookmarkEnd w:id="107"/>
      <w:r>
        <w:rPr>
          <w:rFonts w:ascii="Times New Roman" w:hAnsi="Times New Roman" w:cs="Times New Roman"/>
          <w:sz w:val="20"/>
          <w:szCs w:val="20"/>
        </w:rPr>
        <w:t>Расчет экономии операционных расходов</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2778"/>
        <w:gridCol w:w="1400"/>
        <w:gridCol w:w="1434"/>
        <w:gridCol w:w="1434"/>
        <w:gridCol w:w="1434"/>
        <w:gridCol w:w="1284"/>
        <w:gridCol w:w="1294"/>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(i1-4)</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(i1-1)</w:t>
            </w: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Год i1</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08" w:name="Par8439"/>
            <w:bookmarkEnd w:id="108"/>
            <w:r>
              <w:rPr>
                <w:rFonts w:ascii="Times New Roman" w:hAnsi="Times New Roman" w:cs="Times New Roman"/>
                <w:sz w:val="20"/>
                <w:szCs w:val="20"/>
              </w:rPr>
              <w:t>1</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Скорректированные операционные расходы</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09" w:name="Par8447"/>
            <w:bookmarkEnd w:id="109"/>
            <w:r>
              <w:rPr>
                <w:rFonts w:ascii="Times New Roman" w:hAnsi="Times New Roman" w:cs="Times New Roman"/>
                <w:sz w:val="20"/>
                <w:szCs w:val="20"/>
              </w:rPr>
              <w:t>2</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Фактические операционные расходы</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0" w:name="Par8455"/>
            <w:bookmarkEnd w:id="110"/>
            <w:r>
              <w:rPr>
                <w:rFonts w:ascii="Times New Roman" w:hAnsi="Times New Roman" w:cs="Times New Roman"/>
                <w:sz w:val="20"/>
                <w:szCs w:val="20"/>
              </w:rPr>
              <w:t>3</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Экономия операционных расходов</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1" w:name="Par8463"/>
            <w:bookmarkEnd w:id="111"/>
            <w:r>
              <w:rPr>
                <w:rFonts w:ascii="Times New Roman" w:hAnsi="Times New Roman" w:cs="Times New Roman"/>
                <w:sz w:val="20"/>
                <w:szCs w:val="20"/>
              </w:rPr>
              <w:t>4</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Прирост экономии операционных расходов</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2" w:name="Par8471"/>
            <w:bookmarkEnd w:id="112"/>
            <w:r>
              <w:rPr>
                <w:rFonts w:ascii="Times New Roman" w:hAnsi="Times New Roman" w:cs="Times New Roman"/>
                <w:sz w:val="20"/>
                <w:szCs w:val="20"/>
              </w:rPr>
              <w:t>5</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3" w:name="Par8479"/>
            <w:bookmarkEnd w:id="113"/>
            <w:r>
              <w:rPr>
                <w:rFonts w:ascii="Times New Roman" w:hAnsi="Times New Roman" w:cs="Times New Roman"/>
                <w:sz w:val="20"/>
                <w:szCs w:val="20"/>
              </w:rPr>
              <w:t>6</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Кумулятивное значение индекса потребительских цен</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4" w:name="Par8487"/>
            <w:bookmarkEnd w:id="114"/>
            <w:r>
              <w:rPr>
                <w:rFonts w:ascii="Times New Roman" w:hAnsi="Times New Roman" w:cs="Times New Roman"/>
                <w:sz w:val="20"/>
                <w:szCs w:val="20"/>
              </w:rPr>
              <w:t>7</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Прирост экономии операционных расходов в ценах года i1</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5" w:name="Par8495"/>
            <w:bookmarkEnd w:id="115"/>
            <w:r>
              <w:rPr>
                <w:rFonts w:ascii="Times New Roman" w:hAnsi="Times New Roman" w:cs="Times New Roman"/>
                <w:sz w:val="20"/>
                <w:szCs w:val="20"/>
              </w:rPr>
              <w:t>8</w:t>
            </w:r>
          </w:p>
        </w:tc>
        <w:tc>
          <w:tcPr>
            <w:tcW w:w="27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Экономия операционных расходов, учитываемая в очередном долгосрочном периоде регулирования</w:t>
            </w:r>
          </w:p>
        </w:tc>
        <w:tc>
          <w:tcPr>
            <w:tcW w:w="140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3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8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Приложение заполняется за предшествующий долгосрочный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i1 - последний год текущего долгосрочного периода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w:t>
      </w:r>
      <w:hyperlink w:anchor="Par8439" w:history="1">
        <w:r>
          <w:rPr>
            <w:rFonts w:ascii="Times New Roman" w:hAnsi="Times New Roman" w:cs="Times New Roman"/>
            <w:color w:val="0000FF"/>
            <w:sz w:val="20"/>
            <w:szCs w:val="20"/>
          </w:rPr>
          <w:t>стр. 1</w:t>
        </w:r>
      </w:hyperlink>
      <w:r>
        <w:rPr>
          <w:rFonts w:ascii="Times New Roman" w:hAnsi="Times New Roman" w:cs="Times New Roman"/>
          <w:sz w:val="20"/>
          <w:szCs w:val="20"/>
        </w:rPr>
        <w:t xml:space="preserve"> - </w:t>
      </w:r>
      <w:hyperlink w:anchor="Par8447" w:history="1">
        <w:r>
          <w:rPr>
            <w:rFonts w:ascii="Times New Roman" w:hAnsi="Times New Roman" w:cs="Times New Roman"/>
            <w:color w:val="0000FF"/>
            <w:sz w:val="20"/>
            <w:szCs w:val="20"/>
          </w:rPr>
          <w:t>стр. 2</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В </w:t>
      </w:r>
      <w:hyperlink w:anchor="Par8463" w:history="1">
        <w:r>
          <w:rPr>
            <w:rFonts w:ascii="Times New Roman" w:hAnsi="Times New Roman" w:cs="Times New Roman"/>
            <w:color w:val="0000FF"/>
            <w:sz w:val="20"/>
            <w:szCs w:val="20"/>
          </w:rPr>
          <w:t>строке 4</w:t>
        </w:r>
      </w:hyperlink>
      <w:r>
        <w:rPr>
          <w:rFonts w:ascii="Times New Roman" w:hAnsi="Times New Roman" w:cs="Times New Roman"/>
          <w:sz w:val="20"/>
          <w:szCs w:val="20"/>
        </w:rPr>
        <w:t xml:space="preserve">: гр. 3 = гр. 3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4 = гр. 4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гр. 3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(1 + гр. 4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5 = гр. 5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гр. 4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(1 + гр. 5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6 = гр. 6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гр. 5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(1 + гр. 6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7 = гр. 7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гр. 6 </w:t>
      </w:r>
      <w:hyperlink w:anchor="Par8455"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(1 + гр. 7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В </w:t>
      </w:r>
      <w:hyperlink w:anchor="Par8479" w:history="1">
        <w:r>
          <w:rPr>
            <w:rFonts w:ascii="Times New Roman" w:hAnsi="Times New Roman" w:cs="Times New Roman"/>
            <w:color w:val="0000FF"/>
            <w:sz w:val="20"/>
            <w:szCs w:val="20"/>
          </w:rPr>
          <w:t>строке 6</w:t>
        </w:r>
      </w:hyperlink>
      <w:r>
        <w:rPr>
          <w:rFonts w:ascii="Times New Roman" w:hAnsi="Times New Roman" w:cs="Times New Roman"/>
          <w:sz w:val="20"/>
          <w:szCs w:val="20"/>
        </w:rPr>
        <w:t xml:space="preserve">: гр. 4 = (1 + гр. 5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 xml:space="preserve">) * (1 + гр. 6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 xml:space="preserve">) * (1 + гр. 7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5 = (1 + гр. 6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 xml:space="preserve">) * (1 + гр. 7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6 = (1 + гр. 7 </w:t>
      </w:r>
      <w:hyperlink w:anchor="Par8471" w:history="1">
        <w:r>
          <w:rPr>
            <w:rFonts w:ascii="Times New Roman" w:hAnsi="Times New Roman" w:cs="Times New Roman"/>
            <w:color w:val="0000FF"/>
            <w:sz w:val="20"/>
            <w:szCs w:val="20"/>
          </w:rPr>
          <w:t>стр. 5</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В </w:t>
      </w:r>
      <w:hyperlink w:anchor="Par8487" w:history="1">
        <w:r>
          <w:rPr>
            <w:rFonts w:ascii="Times New Roman" w:hAnsi="Times New Roman" w:cs="Times New Roman"/>
            <w:color w:val="0000FF"/>
            <w:sz w:val="20"/>
            <w:szCs w:val="20"/>
          </w:rPr>
          <w:t>строке 7</w:t>
        </w:r>
      </w:hyperlink>
      <w:r>
        <w:rPr>
          <w:rFonts w:ascii="Times New Roman" w:hAnsi="Times New Roman" w:cs="Times New Roman"/>
          <w:sz w:val="20"/>
          <w:szCs w:val="20"/>
        </w:rPr>
        <w:t xml:space="preserve">: гр. </w:t>
      </w:r>
      <w:hyperlink w:anchor="Par8487" w:history="1">
        <w:r>
          <w:rPr>
            <w:rFonts w:ascii="Times New Roman" w:hAnsi="Times New Roman" w:cs="Times New Roman"/>
            <w:color w:val="0000FF"/>
            <w:sz w:val="20"/>
            <w:szCs w:val="20"/>
          </w:rPr>
          <w:t>стр. 7</w:t>
        </w:r>
      </w:hyperlink>
      <w:r>
        <w:rPr>
          <w:rFonts w:ascii="Times New Roman" w:hAnsi="Times New Roman" w:cs="Times New Roman"/>
          <w:sz w:val="20"/>
          <w:szCs w:val="20"/>
        </w:rPr>
        <w:t xml:space="preserve"> = гр. </w:t>
      </w:r>
      <w:hyperlink w:anchor="Par8463" w:history="1">
        <w:r>
          <w:rPr>
            <w:rFonts w:ascii="Times New Roman" w:hAnsi="Times New Roman" w:cs="Times New Roman"/>
            <w:color w:val="0000FF"/>
            <w:sz w:val="20"/>
            <w:szCs w:val="20"/>
          </w:rPr>
          <w:t>стр. 4</w:t>
        </w:r>
      </w:hyperlink>
      <w:r>
        <w:rPr>
          <w:rFonts w:ascii="Times New Roman" w:hAnsi="Times New Roman" w:cs="Times New Roman"/>
          <w:sz w:val="20"/>
          <w:szCs w:val="20"/>
        </w:rPr>
        <w:t xml:space="preserve"> * гр. </w:t>
      </w:r>
      <w:hyperlink w:anchor="Par8479" w:history="1">
        <w:r>
          <w:rPr>
            <w:rFonts w:ascii="Times New Roman" w:hAnsi="Times New Roman" w:cs="Times New Roman"/>
            <w:color w:val="0000FF"/>
            <w:sz w:val="20"/>
            <w:szCs w:val="20"/>
          </w:rPr>
          <w:t>стр. 6</w:t>
        </w:r>
      </w:hyperlink>
      <w:r>
        <w:rPr>
          <w:rFonts w:ascii="Times New Roman" w:hAnsi="Times New Roman" w:cs="Times New Roman"/>
          <w:sz w:val="20"/>
          <w:szCs w:val="20"/>
        </w:rPr>
        <w:t>, кроме гр. 7</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7 </w:t>
      </w:r>
      <w:hyperlink w:anchor="Par8487" w:history="1">
        <w:r>
          <w:rPr>
            <w:rFonts w:ascii="Times New Roman" w:hAnsi="Times New Roman" w:cs="Times New Roman"/>
            <w:color w:val="0000FF"/>
            <w:sz w:val="20"/>
            <w:szCs w:val="20"/>
          </w:rPr>
          <w:t>стр. 7</w:t>
        </w:r>
      </w:hyperlink>
      <w:r>
        <w:rPr>
          <w:rFonts w:ascii="Times New Roman" w:hAnsi="Times New Roman" w:cs="Times New Roman"/>
          <w:sz w:val="20"/>
          <w:szCs w:val="20"/>
        </w:rPr>
        <w:t xml:space="preserve"> = гр. </w:t>
      </w:r>
      <w:hyperlink w:anchor="Par8463" w:history="1">
        <w:r>
          <w:rPr>
            <w:rFonts w:ascii="Times New Roman" w:hAnsi="Times New Roman" w:cs="Times New Roman"/>
            <w:color w:val="0000FF"/>
            <w:sz w:val="20"/>
            <w:szCs w:val="20"/>
          </w:rPr>
          <w:t>стр. 4</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w:t>
      </w:r>
      <w:hyperlink w:anchor="Par8495" w:history="1">
        <w:r>
          <w:rPr>
            <w:rFonts w:ascii="Times New Roman" w:hAnsi="Times New Roman" w:cs="Times New Roman"/>
            <w:color w:val="0000FF"/>
            <w:sz w:val="20"/>
            <w:szCs w:val="20"/>
          </w:rPr>
          <w:t>Строка 8</w:t>
        </w:r>
      </w:hyperlink>
      <w:r>
        <w:rPr>
          <w:rFonts w:ascii="Times New Roman" w:hAnsi="Times New Roman" w:cs="Times New Roman"/>
          <w:sz w:val="20"/>
          <w:szCs w:val="20"/>
        </w:rPr>
        <w:t xml:space="preserve"> заполняется только в графе 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3 года: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6CCF6E0" wp14:editId="0027B570">
            <wp:extent cx="3305175" cy="257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305175" cy="257175"/>
                    </a:xfrm>
                    <a:prstGeom prst="rect">
                      <a:avLst/>
                    </a:prstGeom>
                    <a:noFill/>
                    <a:ln>
                      <a:noFill/>
                    </a:ln>
                  </pic:spPr>
                </pic:pic>
              </a:graphicData>
            </a:graphic>
          </wp:inline>
        </w:drawing>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более 3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0E6836CC" wp14:editId="4F0AF0EC">
            <wp:extent cx="3876675" cy="2571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3876675" cy="25717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6.7</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16" w:name="Par8533"/>
      <w:bookmarkEnd w:id="116"/>
      <w:r>
        <w:rPr>
          <w:rFonts w:ascii="Times New Roman" w:hAnsi="Times New Roman" w:cs="Times New Roman"/>
          <w:sz w:val="20"/>
          <w:szCs w:val="20"/>
        </w:rPr>
        <w:t>Расчет</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экономии от снижения потребления электрической энергии</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(мощности), учитываемой в очередном долгосрочном</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периоде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3498"/>
        <w:gridCol w:w="1440"/>
        <w:gridCol w:w="1152"/>
        <w:gridCol w:w="1152"/>
        <w:gridCol w:w="1152"/>
        <w:gridCol w:w="1152"/>
        <w:gridCol w:w="1152"/>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(i1-4)</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(i1-1)</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Год i1</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7" w:name="Par8554"/>
            <w:bookmarkEnd w:id="117"/>
            <w:r>
              <w:rPr>
                <w:rFonts w:ascii="Times New Roman" w:hAnsi="Times New Roman" w:cs="Times New Roman"/>
                <w:sz w:val="20"/>
                <w:szCs w:val="20"/>
              </w:rPr>
              <w:t>1</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Удельный расход электрической энергии (мощности), учтенный при расчете тарифов</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кВтч/куб. м</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8" w:name="Par8562"/>
            <w:bookmarkEnd w:id="118"/>
            <w:r>
              <w:rPr>
                <w:rFonts w:ascii="Times New Roman" w:hAnsi="Times New Roman" w:cs="Times New Roman"/>
                <w:sz w:val="20"/>
                <w:szCs w:val="20"/>
              </w:rPr>
              <w:t>2</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Фактический объем отпуска воды (приема сточных вод)</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куб. м</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19" w:name="Par8570"/>
            <w:bookmarkEnd w:id="119"/>
            <w:r>
              <w:rPr>
                <w:rFonts w:ascii="Times New Roman" w:hAnsi="Times New Roman" w:cs="Times New Roman"/>
                <w:sz w:val="20"/>
                <w:szCs w:val="20"/>
              </w:rPr>
              <w:t>3</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Фактическая (расчетная) цена на электрическую энергию (мощность)</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руб./тыс. кВтч</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Экономия от снижения потребления электрической энергии (мощности)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кВтч/куб. м</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0" w:name="Par8586"/>
            <w:bookmarkEnd w:id="120"/>
            <w:r>
              <w:rPr>
                <w:rFonts w:ascii="Times New Roman" w:hAnsi="Times New Roman" w:cs="Times New Roman"/>
                <w:sz w:val="20"/>
                <w:szCs w:val="20"/>
              </w:rPr>
              <w:t>5</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Прирост экономии от снижения потребления электрической энергии (мощности)</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1" w:name="Par8594"/>
            <w:bookmarkEnd w:id="121"/>
            <w:r>
              <w:rPr>
                <w:rFonts w:ascii="Times New Roman" w:hAnsi="Times New Roman" w:cs="Times New Roman"/>
                <w:sz w:val="20"/>
                <w:szCs w:val="20"/>
              </w:rPr>
              <w:t>6</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Значение индекса потребительских цен</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2" w:name="Par8602"/>
            <w:bookmarkEnd w:id="122"/>
            <w:r>
              <w:rPr>
                <w:rFonts w:ascii="Times New Roman" w:hAnsi="Times New Roman" w:cs="Times New Roman"/>
                <w:sz w:val="20"/>
                <w:szCs w:val="20"/>
              </w:rPr>
              <w:t>7</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Кумулятивное значение индекса потребительских цен</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3" w:name="Par8610"/>
            <w:bookmarkEnd w:id="123"/>
            <w:r>
              <w:rPr>
                <w:rFonts w:ascii="Times New Roman" w:hAnsi="Times New Roman" w:cs="Times New Roman"/>
                <w:sz w:val="20"/>
                <w:szCs w:val="20"/>
              </w:rPr>
              <w:t>8</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Прирост экономии от снижения потребления энергетических ресурсов в ценах года i1</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4" w:name="Par8618"/>
            <w:bookmarkEnd w:id="124"/>
            <w:r>
              <w:rPr>
                <w:rFonts w:ascii="Times New Roman" w:hAnsi="Times New Roman" w:cs="Times New Roman"/>
                <w:sz w:val="20"/>
                <w:szCs w:val="20"/>
              </w:rPr>
              <w:t>9</w:t>
            </w:r>
          </w:p>
        </w:tc>
        <w:tc>
          <w:tcPr>
            <w:tcW w:w="34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Экономия от снижения потребления электрической энергии (мощности), учитываемая в очередном долгосрочном периоде регулирования</w:t>
            </w:r>
          </w:p>
        </w:tc>
        <w:tc>
          <w:tcPr>
            <w:tcW w:w="144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15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Приложение заполняется за предшествующий долгосрочный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Приложение заполняется для каждого источника тепловой энергии.</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Фактическая (расчетная) цена на топливо - с учетом затрат на его доставку и хранение, определяемая в соответствии с приложением 4.5 к настоящим Методическим указаниям с учетом остатков топлива и структуры используемого топлива, учтенной при расчете удельного расхода топлива.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Графы </w:t>
      </w:r>
      <w:hyperlink w:anchor="Par8586" w:history="1">
        <w:r>
          <w:rPr>
            <w:rFonts w:ascii="Times New Roman" w:hAnsi="Times New Roman" w:cs="Times New Roman"/>
            <w:color w:val="0000FF"/>
            <w:sz w:val="20"/>
            <w:szCs w:val="20"/>
          </w:rPr>
          <w:t>строки 5</w:t>
        </w:r>
      </w:hyperlink>
      <w:r>
        <w:rPr>
          <w:rFonts w:ascii="Times New Roman" w:hAnsi="Times New Roman" w:cs="Times New Roman"/>
          <w:sz w:val="20"/>
          <w:szCs w:val="20"/>
        </w:rPr>
        <w:t xml:space="preserve"> заполняются расчетным способом: гр. </w:t>
      </w:r>
      <w:hyperlink w:anchor="Par8586" w:history="1">
        <w:r>
          <w:rPr>
            <w:rFonts w:ascii="Times New Roman" w:hAnsi="Times New Roman" w:cs="Times New Roman"/>
            <w:color w:val="0000FF"/>
            <w:sz w:val="20"/>
            <w:szCs w:val="20"/>
          </w:rPr>
          <w:t>стр. 5</w:t>
        </w:r>
      </w:hyperlink>
      <w:r>
        <w:rPr>
          <w:rFonts w:ascii="Times New Roman" w:hAnsi="Times New Roman" w:cs="Times New Roman"/>
          <w:sz w:val="20"/>
          <w:szCs w:val="20"/>
        </w:rPr>
        <w:t xml:space="preserve"> = (гр. </w:t>
      </w:r>
      <w:hyperlink w:anchor="Par8562" w:history="1">
        <w:r>
          <w:rPr>
            <w:rFonts w:ascii="Times New Roman" w:hAnsi="Times New Roman" w:cs="Times New Roman"/>
            <w:color w:val="0000FF"/>
            <w:sz w:val="20"/>
            <w:szCs w:val="20"/>
          </w:rPr>
          <w:t>стр. 2</w:t>
        </w:r>
      </w:hyperlink>
      <w:r>
        <w:rPr>
          <w:rFonts w:ascii="Times New Roman" w:hAnsi="Times New Roman" w:cs="Times New Roman"/>
          <w:sz w:val="20"/>
          <w:szCs w:val="20"/>
        </w:rPr>
        <w:t xml:space="preserve"> - гр. </w:t>
      </w:r>
      <w:hyperlink w:anchor="Par8554" w:history="1">
        <w:r>
          <w:rPr>
            <w:rFonts w:ascii="Times New Roman" w:hAnsi="Times New Roman" w:cs="Times New Roman"/>
            <w:color w:val="0000FF"/>
            <w:sz w:val="20"/>
            <w:szCs w:val="20"/>
          </w:rPr>
          <w:t>стр. 1</w:t>
        </w:r>
      </w:hyperlink>
      <w:r>
        <w:rPr>
          <w:rFonts w:ascii="Times New Roman" w:hAnsi="Times New Roman" w:cs="Times New Roman"/>
          <w:sz w:val="20"/>
          <w:szCs w:val="20"/>
        </w:rPr>
        <w:t xml:space="preserve">) * гр. </w:t>
      </w:r>
      <w:hyperlink w:anchor="Par8570" w:history="1">
        <w:r>
          <w:rPr>
            <w:rFonts w:ascii="Times New Roman" w:hAnsi="Times New Roman" w:cs="Times New Roman"/>
            <w:color w:val="0000FF"/>
            <w:sz w:val="20"/>
            <w:szCs w:val="20"/>
          </w:rPr>
          <w:t>стр. 3</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Графы </w:t>
      </w:r>
      <w:hyperlink w:anchor="Par8594" w:history="1">
        <w:r>
          <w:rPr>
            <w:rFonts w:ascii="Times New Roman" w:hAnsi="Times New Roman" w:cs="Times New Roman"/>
            <w:color w:val="0000FF"/>
            <w:sz w:val="20"/>
            <w:szCs w:val="20"/>
          </w:rPr>
          <w:t>строки 6</w:t>
        </w:r>
      </w:hyperlink>
      <w:r>
        <w:rPr>
          <w:rFonts w:ascii="Times New Roman" w:hAnsi="Times New Roman" w:cs="Times New Roman"/>
          <w:sz w:val="20"/>
          <w:szCs w:val="20"/>
        </w:rPr>
        <w:t xml:space="preserve"> заполняются расчетным способом: </w:t>
      </w:r>
      <w:r>
        <w:rPr>
          <w:rFonts w:ascii="Times New Roman" w:hAnsi="Times New Roman" w:cs="Times New Roman"/>
          <w:noProof/>
          <w:position w:val="-10"/>
          <w:sz w:val="20"/>
          <w:szCs w:val="20"/>
          <w:lang w:eastAsia="ru-RU"/>
        </w:rPr>
        <w:drawing>
          <wp:inline distT="0" distB="0" distL="0" distR="0" wp14:anchorId="71C97A82" wp14:editId="596DCB68">
            <wp:extent cx="4038600" cy="257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4038600" cy="257175"/>
                    </a:xfrm>
                    <a:prstGeom prst="rect">
                      <a:avLst/>
                    </a:prstGeom>
                    <a:noFill/>
                    <a:ln>
                      <a:noFill/>
                    </a:ln>
                  </pic:spPr>
                </pic:pic>
              </a:graphicData>
            </a:graphic>
          </wp:inline>
        </w:drawing>
      </w:r>
      <w:r>
        <w:rPr>
          <w:rFonts w:ascii="Times New Roman" w:hAnsi="Times New Roman" w:cs="Times New Roman"/>
          <w:sz w:val="20"/>
          <w:szCs w:val="20"/>
        </w:rPr>
        <w:t xml:space="preserve">. Для первого года регулирования: </w:t>
      </w:r>
      <w:r>
        <w:rPr>
          <w:rFonts w:ascii="Times New Roman" w:hAnsi="Times New Roman" w:cs="Times New Roman"/>
          <w:noProof/>
          <w:position w:val="-8"/>
          <w:sz w:val="20"/>
          <w:szCs w:val="20"/>
          <w:lang w:eastAsia="ru-RU"/>
        </w:rPr>
        <w:drawing>
          <wp:inline distT="0" distB="0" distL="0" distR="0" wp14:anchorId="64212A1F" wp14:editId="6759E331">
            <wp:extent cx="2524125" cy="228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В </w:t>
      </w:r>
      <w:hyperlink w:anchor="Par8610" w:history="1">
        <w:r>
          <w:rPr>
            <w:rFonts w:ascii="Times New Roman" w:hAnsi="Times New Roman" w:cs="Times New Roman"/>
            <w:color w:val="0000FF"/>
            <w:sz w:val="20"/>
            <w:szCs w:val="20"/>
          </w:rPr>
          <w:t>строке 8</w:t>
        </w:r>
      </w:hyperlink>
      <w:r>
        <w:rPr>
          <w:rFonts w:ascii="Times New Roman" w:hAnsi="Times New Roman" w:cs="Times New Roman"/>
          <w:sz w:val="20"/>
          <w:szCs w:val="20"/>
        </w:rPr>
        <w:t xml:space="preserve">: гр. 5 - (1 + гр. 6) * (1 + гр. 7) * (1 + гр. 8) </w:t>
      </w:r>
      <w:hyperlink w:anchor="Par8602" w:history="1">
        <w:r>
          <w:rPr>
            <w:rFonts w:ascii="Times New Roman" w:hAnsi="Times New Roman" w:cs="Times New Roman"/>
            <w:color w:val="0000FF"/>
            <w:sz w:val="20"/>
            <w:szCs w:val="20"/>
          </w:rPr>
          <w:t>строки 7</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6 = (1 + гр. 7) * (1 + гр. 8) </w:t>
      </w:r>
      <w:hyperlink w:anchor="Par8602" w:history="1">
        <w:r>
          <w:rPr>
            <w:rFonts w:ascii="Times New Roman" w:hAnsi="Times New Roman" w:cs="Times New Roman"/>
            <w:color w:val="0000FF"/>
            <w:sz w:val="20"/>
            <w:szCs w:val="20"/>
          </w:rPr>
          <w:t>строки 7</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7 = (1 + гр. 8) </w:t>
      </w:r>
      <w:hyperlink w:anchor="Par8602" w:history="1">
        <w:r>
          <w:rPr>
            <w:rFonts w:ascii="Times New Roman" w:hAnsi="Times New Roman" w:cs="Times New Roman"/>
            <w:color w:val="0000FF"/>
            <w:sz w:val="20"/>
            <w:szCs w:val="20"/>
          </w:rPr>
          <w:t>строки 7</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Гр. </w:t>
      </w:r>
      <w:hyperlink w:anchor="Par8618" w:history="1">
        <w:r>
          <w:rPr>
            <w:rFonts w:ascii="Times New Roman" w:hAnsi="Times New Roman" w:cs="Times New Roman"/>
            <w:color w:val="0000FF"/>
            <w:sz w:val="20"/>
            <w:szCs w:val="20"/>
          </w:rPr>
          <w:t>стр. 9</w:t>
        </w:r>
      </w:hyperlink>
      <w:r>
        <w:rPr>
          <w:rFonts w:ascii="Times New Roman" w:hAnsi="Times New Roman" w:cs="Times New Roman"/>
          <w:sz w:val="20"/>
          <w:szCs w:val="20"/>
        </w:rPr>
        <w:t xml:space="preserve"> = гр. </w:t>
      </w:r>
      <w:hyperlink w:anchor="Par8594" w:history="1">
        <w:r>
          <w:rPr>
            <w:rFonts w:ascii="Times New Roman" w:hAnsi="Times New Roman" w:cs="Times New Roman"/>
            <w:color w:val="0000FF"/>
            <w:sz w:val="20"/>
            <w:szCs w:val="20"/>
          </w:rPr>
          <w:t>стр. 6</w:t>
        </w:r>
      </w:hyperlink>
      <w:r>
        <w:rPr>
          <w:rFonts w:ascii="Times New Roman" w:hAnsi="Times New Roman" w:cs="Times New Roman"/>
          <w:sz w:val="20"/>
          <w:szCs w:val="20"/>
        </w:rPr>
        <w:t xml:space="preserve"> * гр. </w:t>
      </w:r>
      <w:hyperlink w:anchor="Par8610" w:history="1">
        <w:r>
          <w:rPr>
            <w:rFonts w:ascii="Times New Roman" w:hAnsi="Times New Roman" w:cs="Times New Roman"/>
            <w:color w:val="0000FF"/>
            <w:sz w:val="20"/>
            <w:szCs w:val="20"/>
          </w:rPr>
          <w:t>стр. 8</w:t>
        </w:r>
      </w:hyperlink>
      <w:r>
        <w:rPr>
          <w:rFonts w:ascii="Times New Roman" w:hAnsi="Times New Roman" w:cs="Times New Roman"/>
          <w:sz w:val="20"/>
          <w:szCs w:val="20"/>
        </w:rPr>
        <w:t>, кроме гр. 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8 </w:t>
      </w:r>
      <w:hyperlink w:anchor="Par8618" w:history="1">
        <w:r>
          <w:rPr>
            <w:rFonts w:ascii="Times New Roman" w:hAnsi="Times New Roman" w:cs="Times New Roman"/>
            <w:color w:val="0000FF"/>
            <w:sz w:val="20"/>
            <w:szCs w:val="20"/>
          </w:rPr>
          <w:t>стр. 9</w:t>
        </w:r>
      </w:hyperlink>
      <w:r>
        <w:rPr>
          <w:rFonts w:ascii="Times New Roman" w:hAnsi="Times New Roman" w:cs="Times New Roman"/>
          <w:sz w:val="20"/>
          <w:szCs w:val="20"/>
        </w:rPr>
        <w:t xml:space="preserve"> = гр. </w:t>
      </w:r>
      <w:hyperlink w:anchor="Par8594" w:history="1">
        <w:r>
          <w:rPr>
            <w:rFonts w:ascii="Times New Roman" w:hAnsi="Times New Roman" w:cs="Times New Roman"/>
            <w:color w:val="0000FF"/>
            <w:sz w:val="20"/>
            <w:szCs w:val="20"/>
          </w:rPr>
          <w:t>стр. 6</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Строка 10 заполняется только в графе 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3 года: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E6DB945" wp14:editId="5269908A">
            <wp:extent cx="3276600" cy="257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276600" cy="257175"/>
                    </a:xfrm>
                    <a:prstGeom prst="rect">
                      <a:avLst/>
                    </a:prstGeom>
                    <a:noFill/>
                    <a:ln>
                      <a:noFill/>
                    </a:ln>
                  </pic:spPr>
                </pic:pic>
              </a:graphicData>
            </a:graphic>
          </wp:inline>
        </w:drawing>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более 3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36DADD5E" wp14:editId="056B33D2">
            <wp:extent cx="4162425" cy="257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4162425" cy="25717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6.8</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bookmarkStart w:id="125" w:name="Par8653"/>
      <w:bookmarkEnd w:id="125"/>
      <w:r>
        <w:rPr>
          <w:rFonts w:ascii="Times New Roman" w:hAnsi="Times New Roman" w:cs="Times New Roman"/>
          <w:sz w:val="20"/>
          <w:szCs w:val="20"/>
        </w:rPr>
        <w:t>Расчет</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экономии от снижения потребления прочих энергетических</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ресурсов, холодной воды, теплоносителя (далее в настоящем</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приложении - ресурсы), учитываемой в очередном</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долгосрочном периоде регулирования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4578"/>
        <w:gridCol w:w="1080"/>
        <w:gridCol w:w="1008"/>
        <w:gridCol w:w="1008"/>
        <w:gridCol w:w="1008"/>
        <w:gridCol w:w="1008"/>
        <w:gridCol w:w="1008"/>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(i1-4)</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(i1-1)</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Год i1</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6" w:name="Par8675"/>
            <w:bookmarkEnd w:id="126"/>
            <w:r>
              <w:rPr>
                <w:rFonts w:ascii="Times New Roman" w:hAnsi="Times New Roman" w:cs="Times New Roman"/>
                <w:sz w:val="20"/>
                <w:szCs w:val="20"/>
              </w:rPr>
              <w:t>1</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Фактический объем воды (сточных вод), отпущенных или принятых в водопроводную и канализационную сеть</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7" w:name="Par8683"/>
            <w:bookmarkEnd w:id="127"/>
            <w:r>
              <w:rPr>
                <w:rFonts w:ascii="Times New Roman" w:hAnsi="Times New Roman" w:cs="Times New Roman"/>
                <w:sz w:val="20"/>
                <w:szCs w:val="20"/>
              </w:rPr>
              <w:t>2</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Расчетный объем воды (сточных вод), отпущенных или принятых в водопроводную и канализационную сеть соответственно, учтенный при установлении тарифов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8" w:name="Par8691"/>
            <w:bookmarkEnd w:id="128"/>
            <w:r>
              <w:rPr>
                <w:rFonts w:ascii="Times New Roman" w:hAnsi="Times New Roman" w:cs="Times New Roman"/>
                <w:sz w:val="20"/>
                <w:szCs w:val="20"/>
              </w:rPr>
              <w:t>3</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Объем потребления ресурса, учтенный при установлении тарифов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29" w:name="Par8699"/>
            <w:bookmarkEnd w:id="129"/>
            <w:r>
              <w:rPr>
                <w:rFonts w:ascii="Times New Roman" w:hAnsi="Times New Roman" w:cs="Times New Roman"/>
                <w:sz w:val="20"/>
                <w:szCs w:val="20"/>
              </w:rPr>
              <w:t>4</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Фактический объем потребления ресурса</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0" w:name="Par8707"/>
            <w:bookmarkEnd w:id="130"/>
            <w:r>
              <w:rPr>
                <w:rFonts w:ascii="Times New Roman" w:hAnsi="Times New Roman" w:cs="Times New Roman"/>
                <w:sz w:val="20"/>
                <w:szCs w:val="20"/>
              </w:rPr>
              <w:t>5</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Фактическая стоимость приобретения (производства) единицы ресурса</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1" w:name="Par8715"/>
            <w:bookmarkEnd w:id="131"/>
            <w:r>
              <w:rPr>
                <w:rFonts w:ascii="Times New Roman" w:hAnsi="Times New Roman" w:cs="Times New Roman"/>
                <w:sz w:val="20"/>
                <w:szCs w:val="20"/>
              </w:rPr>
              <w:t>6</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Экономия от снижения потребления ресурсов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2" w:name="Par8723"/>
            <w:bookmarkEnd w:id="132"/>
            <w:r>
              <w:rPr>
                <w:rFonts w:ascii="Times New Roman" w:hAnsi="Times New Roman" w:cs="Times New Roman"/>
                <w:sz w:val="20"/>
                <w:szCs w:val="20"/>
              </w:rPr>
              <w:t>7</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Прирост экономии от снижения потребления ресурсов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3" w:name="Par8731"/>
            <w:bookmarkEnd w:id="133"/>
            <w:r>
              <w:rPr>
                <w:rFonts w:ascii="Times New Roman" w:hAnsi="Times New Roman" w:cs="Times New Roman"/>
                <w:sz w:val="20"/>
                <w:szCs w:val="20"/>
              </w:rPr>
              <w:t>8</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Значение индекса потребительских цен</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4" w:name="Par8739"/>
            <w:bookmarkEnd w:id="134"/>
            <w:r>
              <w:rPr>
                <w:rFonts w:ascii="Times New Roman" w:hAnsi="Times New Roman" w:cs="Times New Roman"/>
                <w:sz w:val="20"/>
                <w:szCs w:val="20"/>
              </w:rPr>
              <w:t>9</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Кумулятивное значение индекса потребительских цен</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5" w:name="Par8747"/>
            <w:bookmarkEnd w:id="135"/>
            <w:r>
              <w:rPr>
                <w:rFonts w:ascii="Times New Roman" w:hAnsi="Times New Roman" w:cs="Times New Roman"/>
                <w:sz w:val="20"/>
                <w:szCs w:val="20"/>
              </w:rPr>
              <w:t>10</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Прирост экономии от снижения потребления ресурсов в ценах года i1</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bookmarkStart w:id="136" w:name="Par8755"/>
            <w:bookmarkEnd w:id="136"/>
            <w:r>
              <w:rPr>
                <w:rFonts w:ascii="Times New Roman" w:hAnsi="Times New Roman" w:cs="Times New Roman"/>
                <w:sz w:val="20"/>
                <w:szCs w:val="20"/>
              </w:rPr>
              <w:t>11</w:t>
            </w:r>
          </w:p>
        </w:tc>
        <w:tc>
          <w:tcPr>
            <w:tcW w:w="457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Экономия от снижения потребления ресурсов, учитываемая в очередном долгосрочном периоде регулирования</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0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sz w:val="20"/>
          <w:szCs w:val="20"/>
        </w:rPr>
        <w:sectPr w:rsidR="00383934">
          <w:pgSz w:w="16836" w:h="11905" w:orient="landscape"/>
          <w:pgMar w:top="1558" w:right="1134" w:bottom="1275" w:left="567" w:header="0" w:footer="0" w:gutter="0"/>
          <w:cols w:space="720"/>
          <w:noEndnote/>
        </w:sect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Примечания: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Приложение заполняется за предшествующий долгосрочный период регулирования.</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Приложение заполняется для каждого вида ресурсов.</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Графы </w:t>
      </w:r>
      <w:hyperlink w:anchor="Par8715" w:history="1">
        <w:r>
          <w:rPr>
            <w:rFonts w:ascii="Times New Roman" w:hAnsi="Times New Roman" w:cs="Times New Roman"/>
            <w:color w:val="0000FF"/>
            <w:sz w:val="20"/>
            <w:szCs w:val="20"/>
          </w:rPr>
          <w:t>строки 6</w:t>
        </w:r>
      </w:hyperlink>
      <w:r>
        <w:rPr>
          <w:rFonts w:ascii="Times New Roman" w:hAnsi="Times New Roman" w:cs="Times New Roman"/>
          <w:sz w:val="20"/>
          <w:szCs w:val="20"/>
        </w:rPr>
        <w:t xml:space="preserve"> заполняются расчетным способом: гр. </w:t>
      </w:r>
      <w:hyperlink w:anchor="Par8715" w:history="1">
        <w:r>
          <w:rPr>
            <w:rFonts w:ascii="Times New Roman" w:hAnsi="Times New Roman" w:cs="Times New Roman"/>
            <w:color w:val="0000FF"/>
            <w:sz w:val="20"/>
            <w:szCs w:val="20"/>
          </w:rPr>
          <w:t>стр. 6</w:t>
        </w:r>
      </w:hyperlink>
      <w:r>
        <w:rPr>
          <w:rFonts w:ascii="Times New Roman" w:hAnsi="Times New Roman" w:cs="Times New Roman"/>
          <w:sz w:val="20"/>
          <w:szCs w:val="20"/>
        </w:rPr>
        <w:t xml:space="preserve"> = гр. </w:t>
      </w:r>
      <w:hyperlink w:anchor="Par8675" w:history="1">
        <w:r>
          <w:rPr>
            <w:rFonts w:ascii="Times New Roman" w:hAnsi="Times New Roman" w:cs="Times New Roman"/>
            <w:color w:val="0000FF"/>
            <w:sz w:val="20"/>
            <w:szCs w:val="20"/>
          </w:rPr>
          <w:t>стр. 1</w:t>
        </w:r>
      </w:hyperlink>
      <w:r>
        <w:rPr>
          <w:rFonts w:ascii="Times New Roman" w:hAnsi="Times New Roman" w:cs="Times New Roman"/>
          <w:sz w:val="20"/>
          <w:szCs w:val="20"/>
        </w:rPr>
        <w:t xml:space="preserve"> / гр. </w:t>
      </w:r>
      <w:hyperlink w:anchor="Par8683" w:history="1">
        <w:r>
          <w:rPr>
            <w:rFonts w:ascii="Times New Roman" w:hAnsi="Times New Roman" w:cs="Times New Roman"/>
            <w:color w:val="0000FF"/>
            <w:sz w:val="20"/>
            <w:szCs w:val="20"/>
          </w:rPr>
          <w:t>стр. 2</w:t>
        </w:r>
      </w:hyperlink>
      <w:r>
        <w:rPr>
          <w:rFonts w:ascii="Times New Roman" w:hAnsi="Times New Roman" w:cs="Times New Roman"/>
          <w:sz w:val="20"/>
          <w:szCs w:val="20"/>
        </w:rPr>
        <w:t xml:space="preserve"> * гр. </w:t>
      </w:r>
      <w:hyperlink w:anchor="Par8691" w:history="1">
        <w:r>
          <w:rPr>
            <w:rFonts w:ascii="Times New Roman" w:hAnsi="Times New Roman" w:cs="Times New Roman"/>
            <w:color w:val="0000FF"/>
            <w:sz w:val="20"/>
            <w:szCs w:val="20"/>
          </w:rPr>
          <w:t>стр. 3</w:t>
        </w:r>
      </w:hyperlink>
      <w:r>
        <w:rPr>
          <w:rFonts w:ascii="Times New Roman" w:hAnsi="Times New Roman" w:cs="Times New Roman"/>
          <w:sz w:val="20"/>
          <w:szCs w:val="20"/>
        </w:rPr>
        <w:t xml:space="preserve"> - гр. </w:t>
      </w:r>
      <w:hyperlink w:anchor="Par8699" w:history="1">
        <w:r>
          <w:rPr>
            <w:rFonts w:ascii="Times New Roman" w:hAnsi="Times New Roman" w:cs="Times New Roman"/>
            <w:color w:val="0000FF"/>
            <w:sz w:val="20"/>
            <w:szCs w:val="20"/>
          </w:rPr>
          <w:t>стр. 4</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Графы </w:t>
      </w:r>
      <w:hyperlink w:anchor="Par8723" w:history="1">
        <w:r>
          <w:rPr>
            <w:rFonts w:ascii="Times New Roman" w:hAnsi="Times New Roman" w:cs="Times New Roman"/>
            <w:color w:val="0000FF"/>
            <w:sz w:val="20"/>
            <w:szCs w:val="20"/>
          </w:rPr>
          <w:t>строки 7</w:t>
        </w:r>
      </w:hyperlink>
      <w:r>
        <w:rPr>
          <w:rFonts w:ascii="Times New Roman" w:hAnsi="Times New Roman" w:cs="Times New Roman"/>
          <w:sz w:val="20"/>
          <w:szCs w:val="20"/>
        </w:rPr>
        <w:t xml:space="preserve"> заполняются расчетным способом: гр. </w:t>
      </w:r>
      <w:hyperlink w:anchor="Par8723" w:history="1">
        <w:r>
          <w:rPr>
            <w:rFonts w:ascii="Times New Roman" w:hAnsi="Times New Roman" w:cs="Times New Roman"/>
            <w:color w:val="0000FF"/>
            <w:sz w:val="20"/>
            <w:szCs w:val="20"/>
          </w:rPr>
          <w:t>стр. 7</w:t>
        </w:r>
      </w:hyperlink>
      <w:r>
        <w:rPr>
          <w:rFonts w:ascii="Times New Roman" w:hAnsi="Times New Roman" w:cs="Times New Roman"/>
          <w:sz w:val="20"/>
          <w:szCs w:val="20"/>
        </w:rPr>
        <w:t xml:space="preserve"> = (гр. </w:t>
      </w:r>
      <w:hyperlink w:anchor="Par8715" w:history="1">
        <w:r>
          <w:rPr>
            <w:rFonts w:ascii="Times New Roman" w:hAnsi="Times New Roman" w:cs="Times New Roman"/>
            <w:color w:val="0000FF"/>
            <w:sz w:val="20"/>
            <w:szCs w:val="20"/>
          </w:rPr>
          <w:t>стр. 6</w:t>
        </w:r>
      </w:hyperlink>
      <w:r>
        <w:rPr>
          <w:rFonts w:ascii="Times New Roman" w:hAnsi="Times New Roman" w:cs="Times New Roman"/>
          <w:sz w:val="20"/>
          <w:szCs w:val="20"/>
        </w:rPr>
        <w:t xml:space="preserve"> - гр. </w:t>
      </w:r>
      <w:hyperlink w:anchor="Par8715" w:history="1">
        <w:r>
          <w:rPr>
            <w:rFonts w:ascii="Times New Roman" w:hAnsi="Times New Roman" w:cs="Times New Roman"/>
            <w:color w:val="0000FF"/>
            <w:sz w:val="20"/>
            <w:szCs w:val="20"/>
          </w:rPr>
          <w:t>стр. 6</w:t>
        </w:r>
      </w:hyperlink>
      <w:r>
        <w:rPr>
          <w:rFonts w:ascii="Times New Roman" w:hAnsi="Times New Roman" w:cs="Times New Roman"/>
          <w:sz w:val="20"/>
          <w:szCs w:val="20"/>
        </w:rPr>
        <w:t xml:space="preserve"> | предыдущий год) * гр. </w:t>
      </w:r>
      <w:hyperlink w:anchor="Par8707" w:history="1">
        <w:r>
          <w:rPr>
            <w:rFonts w:ascii="Times New Roman" w:hAnsi="Times New Roman" w:cs="Times New Roman"/>
            <w:color w:val="0000FF"/>
            <w:sz w:val="20"/>
            <w:szCs w:val="20"/>
          </w:rPr>
          <w:t>стр. 5</w:t>
        </w:r>
      </w:hyperlink>
      <w:r>
        <w:rPr>
          <w:rFonts w:ascii="Times New Roman" w:hAnsi="Times New Roman" w:cs="Times New Roman"/>
          <w:sz w:val="20"/>
          <w:szCs w:val="20"/>
        </w:rPr>
        <w:t xml:space="preserve">. Для первого года регулирования: </w:t>
      </w:r>
      <w:hyperlink w:anchor="Par8723" w:history="1">
        <w:r>
          <w:rPr>
            <w:rFonts w:ascii="Times New Roman" w:hAnsi="Times New Roman" w:cs="Times New Roman"/>
            <w:color w:val="0000FF"/>
            <w:sz w:val="20"/>
            <w:szCs w:val="20"/>
          </w:rPr>
          <w:t>стр. 7</w:t>
        </w:r>
      </w:hyperlink>
      <w:r>
        <w:rPr>
          <w:rFonts w:ascii="Times New Roman" w:hAnsi="Times New Roman" w:cs="Times New Roman"/>
          <w:sz w:val="20"/>
          <w:szCs w:val="20"/>
        </w:rPr>
        <w:t xml:space="preserve"> = гр. </w:t>
      </w:r>
      <w:hyperlink w:anchor="Par8715" w:history="1">
        <w:r>
          <w:rPr>
            <w:rFonts w:ascii="Times New Roman" w:hAnsi="Times New Roman" w:cs="Times New Roman"/>
            <w:color w:val="0000FF"/>
            <w:sz w:val="20"/>
            <w:szCs w:val="20"/>
          </w:rPr>
          <w:t>стр. 6</w:t>
        </w:r>
      </w:hyperlink>
      <w:r>
        <w:rPr>
          <w:rFonts w:ascii="Times New Roman" w:hAnsi="Times New Roman" w:cs="Times New Roman"/>
          <w:sz w:val="20"/>
          <w:szCs w:val="20"/>
        </w:rPr>
        <w:t xml:space="preserve"> * гр. </w:t>
      </w:r>
      <w:hyperlink w:anchor="Par8707" w:history="1">
        <w:r>
          <w:rPr>
            <w:rFonts w:ascii="Times New Roman" w:hAnsi="Times New Roman" w:cs="Times New Roman"/>
            <w:color w:val="0000FF"/>
            <w:sz w:val="20"/>
            <w:szCs w:val="20"/>
          </w:rPr>
          <w:t>стр. 5</w:t>
        </w:r>
      </w:hyperlink>
      <w:r>
        <w:rPr>
          <w:rFonts w:ascii="Times New Roman" w:hAnsi="Times New Roman" w:cs="Times New Roman"/>
          <w:sz w:val="20"/>
          <w:szCs w:val="20"/>
        </w:rPr>
        <w:t>. Необходимо согласовать единицы измерения всех показателей для того, чтобы выразить прирост экономии от снижения потребления ресурсов в тыс. руб.</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В </w:t>
      </w:r>
      <w:hyperlink w:anchor="Par8739" w:history="1">
        <w:r>
          <w:rPr>
            <w:rFonts w:ascii="Times New Roman" w:hAnsi="Times New Roman" w:cs="Times New Roman"/>
            <w:color w:val="0000FF"/>
            <w:sz w:val="20"/>
            <w:szCs w:val="20"/>
          </w:rPr>
          <w:t>строке 9</w:t>
        </w:r>
      </w:hyperlink>
      <w:r>
        <w:rPr>
          <w:rFonts w:ascii="Times New Roman" w:hAnsi="Times New Roman" w:cs="Times New Roman"/>
          <w:sz w:val="20"/>
          <w:szCs w:val="20"/>
        </w:rPr>
        <w:t xml:space="preserve">: гр. 5 = (1 + гр. 6) * (1 + гр. 7) * (1 + гр. 8) </w:t>
      </w:r>
      <w:hyperlink w:anchor="Par8731" w:history="1">
        <w:r>
          <w:rPr>
            <w:rFonts w:ascii="Times New Roman" w:hAnsi="Times New Roman" w:cs="Times New Roman"/>
            <w:color w:val="0000FF"/>
            <w:sz w:val="20"/>
            <w:szCs w:val="20"/>
          </w:rPr>
          <w:t>строки 8</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6 = (1 + гр. 7) * (1 + гр. 8) </w:t>
      </w:r>
      <w:hyperlink w:anchor="Par8731" w:history="1">
        <w:r>
          <w:rPr>
            <w:rFonts w:ascii="Times New Roman" w:hAnsi="Times New Roman" w:cs="Times New Roman"/>
            <w:color w:val="0000FF"/>
            <w:sz w:val="20"/>
            <w:szCs w:val="20"/>
          </w:rPr>
          <w:t>строки 8</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7 = (1 + гр. 8) </w:t>
      </w:r>
      <w:hyperlink w:anchor="Par8731" w:history="1">
        <w:r>
          <w:rPr>
            <w:rFonts w:ascii="Times New Roman" w:hAnsi="Times New Roman" w:cs="Times New Roman"/>
            <w:color w:val="0000FF"/>
            <w:sz w:val="20"/>
            <w:szCs w:val="20"/>
          </w:rPr>
          <w:t>строки 8</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Гр. </w:t>
      </w:r>
      <w:hyperlink w:anchor="Par8747" w:history="1">
        <w:r>
          <w:rPr>
            <w:rFonts w:ascii="Times New Roman" w:hAnsi="Times New Roman" w:cs="Times New Roman"/>
            <w:color w:val="0000FF"/>
            <w:sz w:val="20"/>
            <w:szCs w:val="20"/>
          </w:rPr>
          <w:t>стр. 10</w:t>
        </w:r>
      </w:hyperlink>
      <w:r>
        <w:rPr>
          <w:rFonts w:ascii="Times New Roman" w:hAnsi="Times New Roman" w:cs="Times New Roman"/>
          <w:sz w:val="20"/>
          <w:szCs w:val="20"/>
        </w:rPr>
        <w:t xml:space="preserve"> = гр. </w:t>
      </w:r>
      <w:hyperlink w:anchor="Par8723" w:history="1">
        <w:r>
          <w:rPr>
            <w:rFonts w:ascii="Times New Roman" w:hAnsi="Times New Roman" w:cs="Times New Roman"/>
            <w:color w:val="0000FF"/>
            <w:sz w:val="20"/>
            <w:szCs w:val="20"/>
          </w:rPr>
          <w:t>стр. 7</w:t>
        </w:r>
      </w:hyperlink>
      <w:r>
        <w:rPr>
          <w:rFonts w:ascii="Times New Roman" w:hAnsi="Times New Roman" w:cs="Times New Roman"/>
          <w:sz w:val="20"/>
          <w:szCs w:val="20"/>
        </w:rPr>
        <w:t xml:space="preserve"> * гр. </w:t>
      </w:r>
      <w:hyperlink w:anchor="Par8739" w:history="1">
        <w:r>
          <w:rPr>
            <w:rFonts w:ascii="Times New Roman" w:hAnsi="Times New Roman" w:cs="Times New Roman"/>
            <w:color w:val="0000FF"/>
            <w:sz w:val="20"/>
            <w:szCs w:val="20"/>
          </w:rPr>
          <w:t>стр. 9</w:t>
        </w:r>
      </w:hyperlink>
      <w:r>
        <w:rPr>
          <w:rFonts w:ascii="Times New Roman" w:hAnsi="Times New Roman" w:cs="Times New Roman"/>
          <w:sz w:val="20"/>
          <w:szCs w:val="20"/>
        </w:rPr>
        <w:t>, кроме гр. 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гр. 8 </w:t>
      </w:r>
      <w:hyperlink w:anchor="Par8747" w:history="1">
        <w:r>
          <w:rPr>
            <w:rFonts w:ascii="Times New Roman" w:hAnsi="Times New Roman" w:cs="Times New Roman"/>
            <w:color w:val="0000FF"/>
            <w:sz w:val="20"/>
            <w:szCs w:val="20"/>
          </w:rPr>
          <w:t>стр. 10</w:t>
        </w:r>
      </w:hyperlink>
      <w:r>
        <w:rPr>
          <w:rFonts w:ascii="Times New Roman" w:hAnsi="Times New Roman" w:cs="Times New Roman"/>
          <w:sz w:val="20"/>
          <w:szCs w:val="20"/>
        </w:rPr>
        <w:t xml:space="preserve"> = гр. </w:t>
      </w:r>
      <w:hyperlink w:anchor="Par8723" w:history="1">
        <w:r>
          <w:rPr>
            <w:rFonts w:ascii="Times New Roman" w:hAnsi="Times New Roman" w:cs="Times New Roman"/>
            <w:color w:val="0000FF"/>
            <w:sz w:val="20"/>
            <w:szCs w:val="20"/>
          </w:rPr>
          <w:t>стр. 7</w:t>
        </w:r>
      </w:hyperlink>
      <w:r>
        <w:rPr>
          <w:rFonts w:ascii="Times New Roman" w:hAnsi="Times New Roman" w:cs="Times New Roman"/>
          <w:sz w:val="20"/>
          <w:szCs w:val="20"/>
        </w:rPr>
        <w:t>.</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w:t>
      </w:r>
      <w:hyperlink w:anchor="Par8755" w:history="1">
        <w:r>
          <w:rPr>
            <w:rFonts w:ascii="Times New Roman" w:hAnsi="Times New Roman" w:cs="Times New Roman"/>
            <w:color w:val="0000FF"/>
            <w:sz w:val="20"/>
            <w:szCs w:val="20"/>
          </w:rPr>
          <w:t>Строка 11</w:t>
        </w:r>
      </w:hyperlink>
      <w:r>
        <w:rPr>
          <w:rFonts w:ascii="Times New Roman" w:hAnsi="Times New Roman" w:cs="Times New Roman"/>
          <w:sz w:val="20"/>
          <w:szCs w:val="20"/>
        </w:rPr>
        <w:t xml:space="preserve"> заполняется только в графе 8.</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3 года:</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7CAFBC81" wp14:editId="7CDF8A0F">
            <wp:extent cx="3324225" cy="257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3324225" cy="257175"/>
                    </a:xfrm>
                    <a:prstGeom prst="rect">
                      <a:avLst/>
                    </a:prstGeom>
                    <a:noFill/>
                    <a:ln>
                      <a:noFill/>
                    </a:ln>
                  </pic:spPr>
                </pic:pic>
              </a:graphicData>
            </a:graphic>
          </wp:inline>
        </w:drawing>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Если предшествующий долгосрочный период регулирования составляет более 3 лет:</w:t>
      </w:r>
    </w:p>
    <w:p w:rsidR="00383934" w:rsidRDefault="00383934" w:rsidP="00383934">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9"/>
          <w:sz w:val="20"/>
          <w:szCs w:val="20"/>
          <w:lang w:eastAsia="ru-RU"/>
        </w:rPr>
        <w:drawing>
          <wp:inline distT="0" distB="0" distL="0" distR="0" wp14:anchorId="26C0628D" wp14:editId="3D9193DD">
            <wp:extent cx="4191000" cy="257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4191000" cy="257175"/>
                    </a:xfrm>
                    <a:prstGeom prst="rect">
                      <a:avLst/>
                    </a:prstGeom>
                    <a:noFill/>
                    <a:ln>
                      <a:noFill/>
                    </a:ln>
                  </pic:spPr>
                </pic:pic>
              </a:graphicData>
            </a:graphic>
          </wp:inline>
        </w:drawing>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6.9</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Первоначальная база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Нумерация граф в таблице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both"/>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rPr>
          <w:rFonts w:ascii="Times New Roman" w:hAnsi="Times New Roman" w:cs="Times New Roman"/>
          <w:color w:val="392C69"/>
          <w:sz w:val="20"/>
          <w:szCs w:val="20"/>
        </w:rPr>
        <w:sectPr w:rsidR="00383934">
          <w:pgSz w:w="11905" w:h="16836"/>
          <w:pgMar w:top="1134" w:right="1275" w:bottom="567" w:left="1558"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4398"/>
        <w:gridCol w:w="1080"/>
        <w:gridCol w:w="1080"/>
        <w:gridCol w:w="1080"/>
        <w:gridCol w:w="1080"/>
        <w:gridCol w:w="1080"/>
        <w:gridCol w:w="1080"/>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N п/п</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(i1-4)</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(i-3)</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База инвестированного капитала</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Остаточная стоимость основных средств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Инвестированный капитал</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4.2</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Изменение количества активов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Плата за подключение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4.4</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Надбавки к тарифам</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4.5</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Средства бюджетов и гос. корпораций</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Стоимость объектов, выведенных из эксплуатации</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Амортизация</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43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Возврат кредитов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6.10</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База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4038"/>
        <w:gridCol w:w="1080"/>
        <w:gridCol w:w="820"/>
        <w:gridCol w:w="821"/>
        <w:gridCol w:w="821"/>
        <w:gridCol w:w="820"/>
        <w:gridCol w:w="821"/>
        <w:gridCol w:w="821"/>
        <w:gridCol w:w="821"/>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База инвестированного капитала</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Инвестированный капитал</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Изменение количества активов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Плата за подключение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Средства бюджетов и гос. корпораций</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Стоимость объектов, выведенных из эксплуатации</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Корректировка на изменение доходности государственных обязательств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Доходность, учтенная при установлении тарифов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Фактическая доходность</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6.11</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Полная база инвестированного капитала</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4038"/>
        <w:gridCol w:w="1080"/>
        <w:gridCol w:w="820"/>
        <w:gridCol w:w="821"/>
        <w:gridCol w:w="821"/>
        <w:gridCol w:w="820"/>
        <w:gridCol w:w="821"/>
        <w:gridCol w:w="821"/>
        <w:gridCol w:w="821"/>
      </w:tblGrid>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Полная величина инвестированного капитала</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Инвестированный капитал</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Изменение количества активов (полной стоимости)</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Плата за подключение</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Средства бюджетов и госкорпораций</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Полная стоимость объектов, выведенных из эксплуатации</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Корректировка на изменение доходности государственных обязательств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Доходность, учтенная при установлении тарифов</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52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403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Фактическая доходность</w:t>
            </w:r>
          </w:p>
        </w:tc>
        <w:tc>
          <w:tcPr>
            <w:tcW w:w="10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2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7</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507"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Расчет тарифа методом индексации</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98"/>
        <w:gridCol w:w="3458"/>
        <w:gridCol w:w="1077"/>
        <w:gridCol w:w="737"/>
        <w:gridCol w:w="737"/>
        <w:gridCol w:w="680"/>
        <w:gridCol w:w="850"/>
        <w:gridCol w:w="794"/>
        <w:gridCol w:w="794"/>
        <w:gridCol w:w="850"/>
        <w:gridCol w:w="737"/>
        <w:gridCol w:w="737"/>
      </w:tblGrid>
      <w:tr w:rsidR="00383934">
        <w:tc>
          <w:tcPr>
            <w:tcW w:w="89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3458"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07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1474"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Истекший год (i-2)</w:t>
            </w:r>
          </w:p>
        </w:tc>
        <w:tc>
          <w:tcPr>
            <w:tcW w:w="1530" w:type="dxa"/>
            <w:gridSpan w:val="2"/>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Текущий год (i-1)</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794"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850"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73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737" w:type="dxa"/>
            <w:vMerge w:val="restart"/>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89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3458"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факт</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план</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ожид</w:t>
            </w: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3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c>
          <w:tcPr>
            <w:tcW w:w="737" w:type="dxa"/>
            <w:vMerge/>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68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79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Необходимая валовая выручка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rPr>
                <w:rFonts w:ascii="Times New Roman" w:hAnsi="Times New Roman" w:cs="Times New Roman"/>
                <w:sz w:val="20"/>
                <w:szCs w:val="20"/>
              </w:rPr>
            </w:pPr>
            <w:r>
              <w:rPr>
                <w:rFonts w:ascii="Times New Roman" w:hAnsi="Times New Roman" w:cs="Times New Roman"/>
                <w:sz w:val="20"/>
                <w:szCs w:val="20"/>
              </w:rPr>
              <w:t>Текущие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62"/>
              <w:jc w:val="both"/>
              <w:rPr>
                <w:rFonts w:ascii="Times New Roman" w:hAnsi="Times New Roman" w:cs="Times New Roman"/>
                <w:sz w:val="20"/>
                <w:szCs w:val="20"/>
              </w:rPr>
            </w:pPr>
            <w:r>
              <w:rPr>
                <w:rFonts w:ascii="Times New Roman" w:hAnsi="Times New Roman" w:cs="Times New Roman"/>
                <w:sz w:val="20"/>
                <w:szCs w:val="20"/>
              </w:rPr>
              <w:t>Операционные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эффективности расходов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потребительских цен</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количества активов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62"/>
              <w:jc w:val="both"/>
              <w:rPr>
                <w:rFonts w:ascii="Times New Roman" w:hAnsi="Times New Roman" w:cs="Times New Roman"/>
                <w:sz w:val="20"/>
                <w:szCs w:val="20"/>
              </w:rPr>
            </w:pPr>
            <w:r>
              <w:rPr>
                <w:rFonts w:ascii="Times New Roman" w:hAnsi="Times New Roman" w:cs="Times New Roman"/>
                <w:sz w:val="20"/>
                <w:szCs w:val="20"/>
              </w:rPr>
              <w:t>Расходы на электрическую энергию</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62"/>
              <w:jc w:val="both"/>
              <w:rPr>
                <w:rFonts w:ascii="Times New Roman" w:hAnsi="Times New Roman" w:cs="Times New Roman"/>
                <w:sz w:val="20"/>
                <w:szCs w:val="20"/>
              </w:rPr>
            </w:pPr>
            <w:r>
              <w:rPr>
                <w:rFonts w:ascii="Times New Roman" w:hAnsi="Times New Roman" w:cs="Times New Roman"/>
                <w:sz w:val="20"/>
                <w:szCs w:val="20"/>
              </w:rPr>
              <w:t>Неподконтрольные расходы, в том числе</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возврат займов и кредитов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проценты по займам и кредитам</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rPr>
                <w:rFonts w:ascii="Times New Roman" w:hAnsi="Times New Roman" w:cs="Times New Roman"/>
                <w:sz w:val="20"/>
                <w:szCs w:val="20"/>
              </w:rPr>
            </w:pPr>
            <w:r>
              <w:rPr>
                <w:rFonts w:ascii="Times New Roman" w:hAnsi="Times New Roman" w:cs="Times New Roman"/>
                <w:sz w:val="20"/>
                <w:szCs w:val="20"/>
              </w:rPr>
              <w:t>Амортизация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rPr>
                <w:rFonts w:ascii="Times New Roman" w:hAnsi="Times New Roman" w:cs="Times New Roman"/>
                <w:sz w:val="20"/>
                <w:szCs w:val="20"/>
              </w:rPr>
            </w:pPr>
            <w:r>
              <w:rPr>
                <w:rFonts w:ascii="Times New Roman" w:hAnsi="Times New Roman" w:cs="Times New Roman"/>
                <w:sz w:val="20"/>
                <w:szCs w:val="20"/>
              </w:rPr>
              <w:t>Нормативная прибыль</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62"/>
              <w:jc w:val="both"/>
              <w:rPr>
                <w:rFonts w:ascii="Times New Roman" w:hAnsi="Times New Roman" w:cs="Times New Roman"/>
                <w:sz w:val="20"/>
                <w:szCs w:val="20"/>
              </w:rPr>
            </w:pPr>
            <w:r>
              <w:rPr>
                <w:rFonts w:ascii="Times New Roman" w:hAnsi="Times New Roman" w:cs="Times New Roman"/>
                <w:sz w:val="20"/>
                <w:szCs w:val="20"/>
              </w:rPr>
              <w:t>Капитальные расходы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362"/>
              <w:jc w:val="both"/>
              <w:rPr>
                <w:rFonts w:ascii="Times New Roman" w:hAnsi="Times New Roman" w:cs="Times New Roman"/>
                <w:sz w:val="20"/>
                <w:szCs w:val="20"/>
              </w:rPr>
            </w:pPr>
            <w:r>
              <w:rPr>
                <w:rFonts w:ascii="Times New Roman" w:hAnsi="Times New Roman" w:cs="Times New Roman"/>
                <w:sz w:val="20"/>
                <w:szCs w:val="20"/>
              </w:rPr>
              <w:t xml:space="preserve">Иные экономически обоснованные расходы на социальные нужды, в соответствии с </w:t>
            </w:r>
            <w:hyperlink w:anchor="Par698" w:history="1">
              <w:r>
                <w:rPr>
                  <w:rFonts w:ascii="Times New Roman" w:hAnsi="Times New Roman" w:cs="Times New Roman"/>
                  <w:color w:val="0000FF"/>
                  <w:sz w:val="20"/>
                  <w:szCs w:val="20"/>
                </w:rPr>
                <w:t>пунктом 86</w:t>
              </w:r>
            </w:hyperlink>
            <w:r>
              <w:rPr>
                <w:rFonts w:ascii="Times New Roman" w:hAnsi="Times New Roman" w:cs="Times New Roman"/>
                <w:sz w:val="20"/>
                <w:szCs w:val="20"/>
              </w:rPr>
              <w:t xml:space="preserve"> настоящих Методических указаний</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Расчетная предпринимательская прибыль гарантирующей организации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Корректировка НВВ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Отклонение фактически достигнутого объема поданной воды или принятых сточных вод</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Отклонение фактически достигнутого уровня неподконтрольных расходов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Ввод объектов системы водоснабжения и (или) водоотведения в эксплуатацию и изменение утвержденной инвестиционной программы</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82"/>
              <w:jc w:val="both"/>
              <w:rPr>
                <w:rFonts w:ascii="Times New Roman" w:hAnsi="Times New Roman" w:cs="Times New Roman"/>
                <w:sz w:val="20"/>
                <w:szCs w:val="20"/>
              </w:rPr>
            </w:pPr>
            <w:r>
              <w:rPr>
                <w:rFonts w:ascii="Times New Roman" w:hAnsi="Times New Roman" w:cs="Times New Roman"/>
                <w:sz w:val="20"/>
                <w:szCs w:val="20"/>
              </w:rPr>
              <w:t>Изменение доходности долгосрочных государственных обязательств</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Итого НВВ для расчета тарифа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Тариф на водоснабжение (водоотведение)</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руб./куб. м</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Объем водоснабжения (водоотведения)</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куб. м</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898"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3458"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Темп роста тарифа</w:t>
            </w:r>
          </w:p>
        </w:tc>
        <w:tc>
          <w:tcPr>
            <w:tcW w:w="107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t>Приложение N 8</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Методическим указаниям,</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утвержденным приказом ФСТ России</w:t>
      </w:r>
    </w:p>
    <w:p w:rsidR="00383934" w:rsidRDefault="00383934" w:rsidP="0038393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27.12.2013 N 1746-э</w:t>
      </w:r>
    </w:p>
    <w:p w:rsidR="00383934" w:rsidRDefault="00383934" w:rsidP="0038393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14849"/>
        <w:gridCol w:w="113"/>
      </w:tblGrid>
      <w:tr w:rsidR="003839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w:t>
            </w:r>
            <w:hyperlink r:id="rId508" w:history="1">
              <w:r>
                <w:rPr>
                  <w:rFonts w:ascii="Times New Roman" w:hAnsi="Times New Roman" w:cs="Times New Roman"/>
                  <w:color w:val="0000FF"/>
                  <w:sz w:val="20"/>
                  <w:szCs w:val="20"/>
                </w:rPr>
                <w:t>Приказа</w:t>
              </w:r>
            </w:hyperlink>
            <w:r>
              <w:rPr>
                <w:rFonts w:ascii="Times New Roman" w:hAnsi="Times New Roman" w:cs="Times New Roman"/>
                <w:color w:val="392C69"/>
                <w:sz w:val="20"/>
                <w:szCs w:val="20"/>
              </w:rPr>
              <w:t xml:space="preserve"> ФСТ России от 24.11.2014 N 2054-э)</w:t>
            </w:r>
          </w:p>
        </w:tc>
        <w:tc>
          <w:tcPr>
            <w:tcW w:w="113" w:type="dxa"/>
            <w:shd w:val="clear" w:color="auto" w:fill="F4F3F8"/>
            <w:tcMar>
              <w:top w:w="0" w:type="dxa"/>
              <w:left w:w="0" w:type="dxa"/>
              <w:bottom w:w="0" w:type="dxa"/>
              <w:right w:w="0" w:type="dxa"/>
            </w:tcMar>
          </w:tcPr>
          <w:p w:rsidR="00383934" w:rsidRDefault="00383934">
            <w:pPr>
              <w:autoSpaceDE w:val="0"/>
              <w:autoSpaceDN w:val="0"/>
              <w:adjustRightInd w:val="0"/>
              <w:spacing w:after="0" w:line="240" w:lineRule="auto"/>
              <w:jc w:val="center"/>
              <w:rPr>
                <w:rFonts w:ascii="Times New Roman" w:hAnsi="Times New Roman" w:cs="Times New Roman"/>
                <w:color w:val="392C69"/>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Расчет</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платы за подключение (технологическое присоединение)</w:t>
      </w:r>
    </w:p>
    <w:p w:rsidR="00383934" w:rsidRDefault="00383934" w:rsidP="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 системам водоснабжения и водоотведения</w:t>
      </w: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3754"/>
        <w:gridCol w:w="1402"/>
        <w:gridCol w:w="979"/>
        <w:gridCol w:w="737"/>
        <w:gridCol w:w="701"/>
        <w:gridCol w:w="720"/>
        <w:gridCol w:w="720"/>
        <w:gridCol w:w="730"/>
      </w:tblGrid>
      <w:tr w:rsidR="00383934">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 п/п</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измерений</w:t>
            </w:r>
          </w:p>
        </w:tc>
        <w:tc>
          <w:tcPr>
            <w:tcW w:w="97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Всего за период</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1-й год</w:t>
            </w:r>
          </w:p>
        </w:tc>
        <w:tc>
          <w:tcPr>
            <w:tcW w:w="70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2-й год</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3-й год</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4-й год</w:t>
            </w:r>
          </w:p>
        </w:tc>
        <w:tc>
          <w:tcPr>
            <w:tcW w:w="73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5-й год</w:t>
            </w:r>
          </w:p>
        </w:tc>
      </w:tr>
      <w:tr w:rsidR="00383934">
        <w:tc>
          <w:tcPr>
            <w:tcW w:w="96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02"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79"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37"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701"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72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730"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Расходы, связанные с подключением (технологическим присоединением)</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Расходы на проведение мероприятий по подключению заявителей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проектирование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сырье и материалы</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электрическую энергию (мощность), тепловую энергию, другие энергетические ресурсы и холодную воду (промывку сетей)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1.1.4</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оплату работ и услуг сторонних организаций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1.1.5</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оплата труда и отчисления на социальные нужды</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1.1.6</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прочие расходы</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Внереализационные расходы, всего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услуги банков</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обслуживание заемных средств</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Налог на прибыль</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Структура расходов</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Расходы, относимые на ставку за протяженность сети</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40 мм и менее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40 мм до 70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70 мм до 100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2.1.4</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100 мм до 150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2.1.5</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150 мм до 200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2.1.6</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200 мм до 250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2.1.7</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подключение сетей диаметром от 250 мм и более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Расходы, относимые на ставку за подключаемую нагрузку</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Расходы на строительство и модернизацию существующих объектов, учитываемые при установлении индивидуальной платы за подключение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Протяженность сетей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Протяженность вновь создаваемых</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40 мм и менее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40 мм до 70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70 мм до 100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3.1.4</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100 мм до 150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3.1.5</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150 мм до 200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3.1.6</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200 мм до 250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3.1.7</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протяженность сетей диаметром от 250 мм и более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Подключаемая нагрузка</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куб. м в сутки</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Предлагаемые тарифы на подключение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Базовая ставка тарифа на протяженность сетей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руб./км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116"/>
              <w:jc w:val="both"/>
              <w:rPr>
                <w:rFonts w:ascii="Times New Roman" w:hAnsi="Times New Roman" w:cs="Times New Roman"/>
                <w:sz w:val="20"/>
                <w:szCs w:val="20"/>
              </w:rPr>
            </w:pPr>
            <w:r>
              <w:rPr>
                <w:rFonts w:ascii="Times New Roman" w:hAnsi="Times New Roman" w:cs="Times New Roman"/>
                <w:sz w:val="20"/>
                <w:szCs w:val="20"/>
              </w:rPr>
              <w:t>Коэффициенты дифференциации тарифа в зависимости от диаметра сетей</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5.2.1</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40 мм и менее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5.2.2</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40 мм до 70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70 мм до 100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5.2.4</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100 мм до 150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5.2.5</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150 мм до 200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5.2.6</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200 мм до 250 мм (включительно)</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5.2.7</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коэффициент для сетей диаметром от 250 мм и более</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r w:rsidR="00383934">
        <w:tc>
          <w:tcPr>
            <w:tcW w:w="964"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5.3</w:t>
            </w:r>
          </w:p>
        </w:tc>
        <w:tc>
          <w:tcPr>
            <w:tcW w:w="3754" w:type="dxa"/>
            <w:tcBorders>
              <w:top w:val="single" w:sz="4" w:space="0" w:color="auto"/>
              <w:left w:val="single" w:sz="4" w:space="0" w:color="auto"/>
              <w:bottom w:val="single" w:sz="4" w:space="0" w:color="auto"/>
              <w:right w:val="single" w:sz="4" w:space="0" w:color="auto"/>
            </w:tcBorders>
          </w:tcPr>
          <w:p w:rsidR="00383934" w:rsidRDefault="00383934">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Базовая ставка тарифа на подключаемую нагрузку</w:t>
            </w:r>
          </w:p>
        </w:tc>
        <w:tc>
          <w:tcPr>
            <w:tcW w:w="1402"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тыс. руб./куб. м</w:t>
            </w:r>
          </w:p>
        </w:tc>
        <w:tc>
          <w:tcPr>
            <w:tcW w:w="979"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c>
          <w:tcPr>
            <w:tcW w:w="730" w:type="dxa"/>
            <w:tcBorders>
              <w:top w:val="single" w:sz="4" w:space="0" w:color="auto"/>
              <w:left w:val="single" w:sz="4" w:space="0" w:color="auto"/>
              <w:bottom w:val="single" w:sz="4" w:space="0" w:color="auto"/>
              <w:right w:val="single" w:sz="4" w:space="0" w:color="auto"/>
            </w:tcBorders>
            <w:vAlign w:val="center"/>
          </w:tcPr>
          <w:p w:rsidR="00383934" w:rsidRDefault="00383934">
            <w:pPr>
              <w:autoSpaceDE w:val="0"/>
              <w:autoSpaceDN w:val="0"/>
              <w:adjustRightInd w:val="0"/>
              <w:spacing w:after="0" w:line="240" w:lineRule="auto"/>
              <w:rPr>
                <w:rFonts w:ascii="Times New Roman" w:hAnsi="Times New Roman" w:cs="Times New Roman"/>
                <w:sz w:val="20"/>
                <w:szCs w:val="20"/>
              </w:rPr>
            </w:pPr>
          </w:p>
        </w:tc>
      </w:tr>
    </w:tbl>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autoSpaceDE w:val="0"/>
        <w:autoSpaceDN w:val="0"/>
        <w:adjustRightInd w:val="0"/>
        <w:spacing w:after="0" w:line="240" w:lineRule="auto"/>
        <w:jc w:val="both"/>
        <w:rPr>
          <w:rFonts w:ascii="Times New Roman" w:hAnsi="Times New Roman" w:cs="Times New Roman"/>
          <w:sz w:val="20"/>
          <w:szCs w:val="20"/>
        </w:rPr>
      </w:pPr>
    </w:p>
    <w:p w:rsidR="00383934" w:rsidRDefault="00383934" w:rsidP="0038393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33798" w:rsidRDefault="00E33798"/>
    <w:sectPr w:rsidR="00E33798" w:rsidSect="00884B93">
      <w:pgSz w:w="16836" w:h="11905" w:orient="landscape"/>
      <w:pgMar w:top="1558" w:right="1134" w:bottom="1275"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34"/>
    <w:rsid w:val="00383934"/>
    <w:rsid w:val="00E3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E157-54B5-4031-81E3-5814FA27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5185&amp;dst=100014" TargetMode="External"/><Relationship Id="rId299" Type="http://schemas.openxmlformats.org/officeDocument/2006/relationships/image" Target="media/image171.wmf"/><Relationship Id="rId21" Type="http://schemas.openxmlformats.org/officeDocument/2006/relationships/hyperlink" Target="https://login.consultant.ru/link/?req=doc&amp;base=LAW&amp;n=172763&amp;dst=100006" TargetMode="External"/><Relationship Id="rId63" Type="http://schemas.openxmlformats.org/officeDocument/2006/relationships/hyperlink" Target="https://login.consultant.ru/link/?req=doc&amp;base=LAW&amp;n=422888&amp;dst=100024" TargetMode="External"/><Relationship Id="rId159" Type="http://schemas.openxmlformats.org/officeDocument/2006/relationships/image" Target="media/image55.wmf"/><Relationship Id="rId324" Type="http://schemas.openxmlformats.org/officeDocument/2006/relationships/hyperlink" Target="https://login.consultant.ru/link/?req=doc&amp;base=LAW&amp;n=338501&amp;dst=100057" TargetMode="External"/><Relationship Id="rId366" Type="http://schemas.openxmlformats.org/officeDocument/2006/relationships/image" Target="media/image220.wmf"/><Relationship Id="rId170" Type="http://schemas.openxmlformats.org/officeDocument/2006/relationships/image" Target="media/image66.wmf"/><Relationship Id="rId226" Type="http://schemas.openxmlformats.org/officeDocument/2006/relationships/image" Target="media/image116.wmf"/><Relationship Id="rId433" Type="http://schemas.openxmlformats.org/officeDocument/2006/relationships/image" Target="media/image281.wmf"/><Relationship Id="rId268" Type="http://schemas.openxmlformats.org/officeDocument/2006/relationships/image" Target="media/image151.wmf"/><Relationship Id="rId475" Type="http://schemas.openxmlformats.org/officeDocument/2006/relationships/hyperlink" Target="https://login.consultant.ru/link/?req=doc&amp;base=LAW&amp;n=421209&amp;dst=100023" TargetMode="External"/><Relationship Id="rId32" Type="http://schemas.openxmlformats.org/officeDocument/2006/relationships/hyperlink" Target="https://login.consultant.ru/link/?req=doc&amp;base=LAW&amp;n=455707&amp;dst=100024" TargetMode="External"/><Relationship Id="rId74" Type="http://schemas.openxmlformats.org/officeDocument/2006/relationships/hyperlink" Target="https://login.consultant.ru/link/?req=doc&amp;base=LAW&amp;n=431832&amp;dst=378" TargetMode="External"/><Relationship Id="rId128" Type="http://schemas.openxmlformats.org/officeDocument/2006/relationships/hyperlink" Target="https://login.consultant.ru/link/?req=doc&amp;base=LAW&amp;n=338501&amp;dst=100023" TargetMode="External"/><Relationship Id="rId335" Type="http://schemas.openxmlformats.org/officeDocument/2006/relationships/image" Target="media/image196.wmf"/><Relationship Id="rId377" Type="http://schemas.openxmlformats.org/officeDocument/2006/relationships/image" Target="media/image231.wmf"/><Relationship Id="rId500" Type="http://schemas.openxmlformats.org/officeDocument/2006/relationships/image" Target="media/image306.wmf"/><Relationship Id="rId5" Type="http://schemas.openxmlformats.org/officeDocument/2006/relationships/hyperlink" Target="https://login.consultant.ru/link/?req=doc&amp;base=LAW&amp;n=172763&amp;dst=100006" TargetMode="External"/><Relationship Id="rId181" Type="http://schemas.openxmlformats.org/officeDocument/2006/relationships/image" Target="media/image77.wmf"/><Relationship Id="rId237" Type="http://schemas.openxmlformats.org/officeDocument/2006/relationships/image" Target="media/image126.wmf"/><Relationship Id="rId402" Type="http://schemas.openxmlformats.org/officeDocument/2006/relationships/image" Target="media/image252.wmf"/><Relationship Id="rId279" Type="http://schemas.openxmlformats.org/officeDocument/2006/relationships/image" Target="media/image161.wmf"/><Relationship Id="rId444" Type="http://schemas.openxmlformats.org/officeDocument/2006/relationships/hyperlink" Target="https://login.consultant.ru/link/?req=doc&amp;base=LAW&amp;n=482877&amp;dst=100603" TargetMode="External"/><Relationship Id="rId486" Type="http://schemas.openxmlformats.org/officeDocument/2006/relationships/hyperlink" Target="https://login.consultant.ru/link/?req=doc&amp;base=LAW&amp;n=312528" TargetMode="External"/><Relationship Id="rId43" Type="http://schemas.openxmlformats.org/officeDocument/2006/relationships/image" Target="media/image1.wmf"/><Relationship Id="rId139" Type="http://schemas.openxmlformats.org/officeDocument/2006/relationships/image" Target="media/image43.wmf"/><Relationship Id="rId290" Type="http://schemas.openxmlformats.org/officeDocument/2006/relationships/hyperlink" Target="https://login.consultant.ru/link/?req=doc&amp;base=LAW&amp;n=172763&amp;dst=100051" TargetMode="External"/><Relationship Id="rId304" Type="http://schemas.openxmlformats.org/officeDocument/2006/relationships/image" Target="media/image176.wmf"/><Relationship Id="rId346" Type="http://schemas.openxmlformats.org/officeDocument/2006/relationships/image" Target="media/image204.wmf"/><Relationship Id="rId388" Type="http://schemas.openxmlformats.org/officeDocument/2006/relationships/image" Target="media/image242.wmf"/><Relationship Id="rId85" Type="http://schemas.openxmlformats.org/officeDocument/2006/relationships/hyperlink" Target="https://login.consultant.ru/link/?req=doc&amp;base=LAW&amp;n=172763&amp;dst=100026" TargetMode="External"/><Relationship Id="rId150" Type="http://schemas.openxmlformats.org/officeDocument/2006/relationships/image" Target="media/image50.wmf"/><Relationship Id="rId192" Type="http://schemas.openxmlformats.org/officeDocument/2006/relationships/image" Target="media/image86.wmf"/><Relationship Id="rId206" Type="http://schemas.openxmlformats.org/officeDocument/2006/relationships/hyperlink" Target="https://login.consultant.ru/link/?req=doc&amp;base=LAW&amp;n=470834&amp;dst=100445" TargetMode="External"/><Relationship Id="rId413" Type="http://schemas.openxmlformats.org/officeDocument/2006/relationships/image" Target="media/image263.wmf"/><Relationship Id="rId248" Type="http://schemas.openxmlformats.org/officeDocument/2006/relationships/image" Target="media/image137.wmf"/><Relationship Id="rId455" Type="http://schemas.openxmlformats.org/officeDocument/2006/relationships/image" Target="media/image292.wmf"/><Relationship Id="rId497" Type="http://schemas.openxmlformats.org/officeDocument/2006/relationships/hyperlink" Target="https://login.consultant.ru/link/?req=doc&amp;base=LAW&amp;n=369328&amp;dst=100212" TargetMode="External"/><Relationship Id="rId12" Type="http://schemas.openxmlformats.org/officeDocument/2006/relationships/hyperlink" Target="https://login.consultant.ru/link/?req=doc&amp;base=LAW&amp;n=413946&amp;dst=100007" TargetMode="External"/><Relationship Id="rId108" Type="http://schemas.openxmlformats.org/officeDocument/2006/relationships/image" Target="media/image23.wmf"/><Relationship Id="rId315" Type="http://schemas.openxmlformats.org/officeDocument/2006/relationships/image" Target="media/image181.wmf"/><Relationship Id="rId357" Type="http://schemas.openxmlformats.org/officeDocument/2006/relationships/image" Target="media/image211.wmf"/><Relationship Id="rId54" Type="http://schemas.openxmlformats.org/officeDocument/2006/relationships/hyperlink" Target="https://login.consultant.ru/link/?req=doc&amp;base=LAW&amp;n=369328&amp;dst=100013" TargetMode="External"/><Relationship Id="rId96" Type="http://schemas.openxmlformats.org/officeDocument/2006/relationships/image" Target="media/image14.wmf"/><Relationship Id="rId161" Type="http://schemas.openxmlformats.org/officeDocument/2006/relationships/image" Target="media/image57.wmf"/><Relationship Id="rId217" Type="http://schemas.openxmlformats.org/officeDocument/2006/relationships/image" Target="media/image107.wmf"/><Relationship Id="rId399" Type="http://schemas.openxmlformats.org/officeDocument/2006/relationships/image" Target="media/image249.wmf"/><Relationship Id="rId259" Type="http://schemas.openxmlformats.org/officeDocument/2006/relationships/image" Target="media/image146.wmf"/><Relationship Id="rId424" Type="http://schemas.openxmlformats.org/officeDocument/2006/relationships/hyperlink" Target="https://login.consultant.ru/link/?req=doc&amp;base=LAW&amp;n=369328&amp;dst=100056" TargetMode="External"/><Relationship Id="rId466" Type="http://schemas.openxmlformats.org/officeDocument/2006/relationships/image" Target="media/image299.wmf"/><Relationship Id="rId23" Type="http://schemas.openxmlformats.org/officeDocument/2006/relationships/hyperlink" Target="https://login.consultant.ru/link/?req=doc&amp;base=LAW&amp;n=221027&amp;dst=100007" TargetMode="External"/><Relationship Id="rId119" Type="http://schemas.openxmlformats.org/officeDocument/2006/relationships/image" Target="media/image30.wmf"/><Relationship Id="rId270" Type="http://schemas.openxmlformats.org/officeDocument/2006/relationships/image" Target="media/image153.wmf"/><Relationship Id="rId326" Type="http://schemas.openxmlformats.org/officeDocument/2006/relationships/image" Target="media/image190.wmf"/><Relationship Id="rId65" Type="http://schemas.openxmlformats.org/officeDocument/2006/relationships/hyperlink" Target="https://login.consultant.ru/link/?req=doc&amp;base=LAW&amp;n=422888&amp;dst=100026" TargetMode="External"/><Relationship Id="rId130" Type="http://schemas.openxmlformats.org/officeDocument/2006/relationships/image" Target="media/image35.wmf"/><Relationship Id="rId368" Type="http://schemas.openxmlformats.org/officeDocument/2006/relationships/image" Target="media/image222.wmf"/><Relationship Id="rId172" Type="http://schemas.openxmlformats.org/officeDocument/2006/relationships/image" Target="media/image68.wmf"/><Relationship Id="rId228" Type="http://schemas.openxmlformats.org/officeDocument/2006/relationships/image" Target="media/image118.wmf"/><Relationship Id="rId435" Type="http://schemas.openxmlformats.org/officeDocument/2006/relationships/image" Target="media/image283.wmf"/><Relationship Id="rId477" Type="http://schemas.openxmlformats.org/officeDocument/2006/relationships/hyperlink" Target="https://login.consultant.ru/link/?req=doc&amp;base=LAW&amp;n=369328&amp;dst=100095" TargetMode="External"/><Relationship Id="rId281" Type="http://schemas.openxmlformats.org/officeDocument/2006/relationships/hyperlink" Target="https://login.consultant.ru/link/?req=doc&amp;base=LAW&amp;n=470834&amp;dst=100094" TargetMode="External"/><Relationship Id="rId337" Type="http://schemas.openxmlformats.org/officeDocument/2006/relationships/image" Target="media/image198.wmf"/><Relationship Id="rId502" Type="http://schemas.openxmlformats.org/officeDocument/2006/relationships/image" Target="media/image308.wmf"/><Relationship Id="rId34" Type="http://schemas.openxmlformats.org/officeDocument/2006/relationships/hyperlink" Target="https://login.consultant.ru/link/?req=doc&amp;base=LAW&amp;n=471092&amp;dst=100467" TargetMode="External"/><Relationship Id="rId76" Type="http://schemas.openxmlformats.org/officeDocument/2006/relationships/hyperlink" Target="https://login.consultant.ru/link/?req=doc&amp;base=LAW&amp;n=212833&amp;dst=100032" TargetMode="External"/><Relationship Id="rId141" Type="http://schemas.openxmlformats.org/officeDocument/2006/relationships/hyperlink" Target="https://login.consultant.ru/link/?req=doc&amp;base=LAW&amp;n=221027&amp;dst=100025" TargetMode="External"/><Relationship Id="rId379" Type="http://schemas.openxmlformats.org/officeDocument/2006/relationships/image" Target="media/image233.wmf"/><Relationship Id="rId7" Type="http://schemas.openxmlformats.org/officeDocument/2006/relationships/hyperlink" Target="https://login.consultant.ru/link/?req=doc&amp;base=LAW&amp;n=221027&amp;dst=100007" TargetMode="External"/><Relationship Id="rId183" Type="http://schemas.openxmlformats.org/officeDocument/2006/relationships/image" Target="media/image79.wmf"/><Relationship Id="rId239" Type="http://schemas.openxmlformats.org/officeDocument/2006/relationships/image" Target="media/image128.wmf"/><Relationship Id="rId390" Type="http://schemas.openxmlformats.org/officeDocument/2006/relationships/image" Target="media/image244.wmf"/><Relationship Id="rId404" Type="http://schemas.openxmlformats.org/officeDocument/2006/relationships/image" Target="media/image254.wmf"/><Relationship Id="rId446" Type="http://schemas.openxmlformats.org/officeDocument/2006/relationships/hyperlink" Target="https://login.consultant.ru/link/?req=doc&amp;base=LAW&amp;n=338501&amp;dst=100147" TargetMode="External"/><Relationship Id="rId250" Type="http://schemas.openxmlformats.org/officeDocument/2006/relationships/image" Target="media/image139.wmf"/><Relationship Id="rId292" Type="http://schemas.openxmlformats.org/officeDocument/2006/relationships/image" Target="media/image166.wmf"/><Relationship Id="rId306" Type="http://schemas.openxmlformats.org/officeDocument/2006/relationships/hyperlink" Target="https://login.consultant.ru/link/?req=doc&amp;base=LAW&amp;n=470834&amp;dst=286" TargetMode="External"/><Relationship Id="rId488" Type="http://schemas.openxmlformats.org/officeDocument/2006/relationships/hyperlink" Target="https://login.consultant.ru/link/?req=doc&amp;base=LAW&amp;n=312528" TargetMode="External"/><Relationship Id="rId45" Type="http://schemas.openxmlformats.org/officeDocument/2006/relationships/image" Target="media/image3.wmf"/><Relationship Id="rId87" Type="http://schemas.openxmlformats.org/officeDocument/2006/relationships/hyperlink" Target="https://login.consultant.ru/link/?req=doc&amp;base=LAW&amp;n=470834&amp;dst=100128" TargetMode="External"/><Relationship Id="rId110" Type="http://schemas.openxmlformats.org/officeDocument/2006/relationships/image" Target="media/image25.wmf"/><Relationship Id="rId348" Type="http://schemas.openxmlformats.org/officeDocument/2006/relationships/image" Target="media/image206.wmf"/><Relationship Id="rId152" Type="http://schemas.openxmlformats.org/officeDocument/2006/relationships/hyperlink" Target="https://login.consultant.ru/link/?req=doc&amp;base=LAW&amp;n=481921&amp;dst=100044" TargetMode="External"/><Relationship Id="rId194" Type="http://schemas.openxmlformats.org/officeDocument/2006/relationships/image" Target="media/image88.wmf"/><Relationship Id="rId208" Type="http://schemas.openxmlformats.org/officeDocument/2006/relationships/image" Target="media/image98.wmf"/><Relationship Id="rId415" Type="http://schemas.openxmlformats.org/officeDocument/2006/relationships/image" Target="media/image265.wmf"/><Relationship Id="rId457" Type="http://schemas.openxmlformats.org/officeDocument/2006/relationships/image" Target="media/image293.wmf"/><Relationship Id="rId261" Type="http://schemas.openxmlformats.org/officeDocument/2006/relationships/image" Target="media/image148.wmf"/><Relationship Id="rId499" Type="http://schemas.openxmlformats.org/officeDocument/2006/relationships/image" Target="media/image305.wmf"/><Relationship Id="rId14" Type="http://schemas.openxmlformats.org/officeDocument/2006/relationships/hyperlink" Target="https://login.consultant.ru/link/?req=doc&amp;base=LAW&amp;n=421209&amp;dst=100007" TargetMode="External"/><Relationship Id="rId56" Type="http://schemas.openxmlformats.org/officeDocument/2006/relationships/hyperlink" Target="https://login.consultant.ru/link/?req=doc&amp;base=LAW&amp;n=482652" TargetMode="External"/><Relationship Id="rId317" Type="http://schemas.openxmlformats.org/officeDocument/2006/relationships/image" Target="media/image183.wmf"/><Relationship Id="rId359" Type="http://schemas.openxmlformats.org/officeDocument/2006/relationships/image" Target="media/image213.wmf"/><Relationship Id="rId98" Type="http://schemas.openxmlformats.org/officeDocument/2006/relationships/image" Target="media/image16.wmf"/><Relationship Id="rId121" Type="http://schemas.openxmlformats.org/officeDocument/2006/relationships/image" Target="media/image32.wmf"/><Relationship Id="rId163" Type="http://schemas.openxmlformats.org/officeDocument/2006/relationships/image" Target="media/image59.wmf"/><Relationship Id="rId219" Type="http://schemas.openxmlformats.org/officeDocument/2006/relationships/image" Target="media/image109.wmf"/><Relationship Id="rId370" Type="http://schemas.openxmlformats.org/officeDocument/2006/relationships/image" Target="media/image224.wmf"/><Relationship Id="rId426" Type="http://schemas.openxmlformats.org/officeDocument/2006/relationships/image" Target="media/image274.wmf"/><Relationship Id="rId230" Type="http://schemas.openxmlformats.org/officeDocument/2006/relationships/image" Target="media/image120.wmf"/><Relationship Id="rId468" Type="http://schemas.openxmlformats.org/officeDocument/2006/relationships/image" Target="media/image301.wmf"/><Relationship Id="rId25" Type="http://schemas.openxmlformats.org/officeDocument/2006/relationships/hyperlink" Target="https://login.consultant.ru/link/?req=doc&amp;base=LAW&amp;n=307689&amp;dst=100011" TargetMode="External"/><Relationship Id="rId67" Type="http://schemas.openxmlformats.org/officeDocument/2006/relationships/hyperlink" Target="https://login.consultant.ru/link/?req=doc&amp;base=LAW&amp;n=172763&amp;dst=100022" TargetMode="External"/><Relationship Id="rId272" Type="http://schemas.openxmlformats.org/officeDocument/2006/relationships/image" Target="media/image155.wmf"/><Relationship Id="rId328" Type="http://schemas.openxmlformats.org/officeDocument/2006/relationships/image" Target="media/image192.wmf"/><Relationship Id="rId132" Type="http://schemas.openxmlformats.org/officeDocument/2006/relationships/image" Target="media/image37.wmf"/><Relationship Id="rId174" Type="http://schemas.openxmlformats.org/officeDocument/2006/relationships/image" Target="media/image70.wmf"/><Relationship Id="rId381" Type="http://schemas.openxmlformats.org/officeDocument/2006/relationships/image" Target="media/image235.wmf"/><Relationship Id="rId241" Type="http://schemas.openxmlformats.org/officeDocument/2006/relationships/image" Target="media/image130.wmf"/><Relationship Id="rId437" Type="http://schemas.openxmlformats.org/officeDocument/2006/relationships/image" Target="media/image285.wmf"/><Relationship Id="rId479" Type="http://schemas.openxmlformats.org/officeDocument/2006/relationships/hyperlink" Target="https://login.consultant.ru/link/?req=doc&amp;base=LAW&amp;n=172763&amp;dst=100009" TargetMode="External"/><Relationship Id="rId36" Type="http://schemas.openxmlformats.org/officeDocument/2006/relationships/hyperlink" Target="https://login.consultant.ru/link/?req=doc&amp;base=LAW&amp;n=470834&amp;dst=100307" TargetMode="External"/><Relationship Id="rId283" Type="http://schemas.openxmlformats.org/officeDocument/2006/relationships/hyperlink" Target="https://login.consultant.ru/link/?req=doc&amp;base=LAW&amp;n=338501&amp;dst=100025" TargetMode="External"/><Relationship Id="rId339" Type="http://schemas.openxmlformats.org/officeDocument/2006/relationships/image" Target="media/image200.wmf"/><Relationship Id="rId490" Type="http://schemas.openxmlformats.org/officeDocument/2006/relationships/hyperlink" Target="https://login.consultant.ru/link/?req=doc&amp;base=LAW&amp;n=172763&amp;dst=100010" TargetMode="External"/><Relationship Id="rId504" Type="http://schemas.openxmlformats.org/officeDocument/2006/relationships/image" Target="media/image310.wmf"/><Relationship Id="rId78" Type="http://schemas.openxmlformats.org/officeDocument/2006/relationships/hyperlink" Target="https://login.consultant.ru/link/?req=doc&amp;base=LAW&amp;n=221027&amp;dst=100021" TargetMode="External"/><Relationship Id="rId101" Type="http://schemas.openxmlformats.org/officeDocument/2006/relationships/hyperlink" Target="https://login.consultant.ru/link/?req=doc&amp;base=LAW&amp;n=172763&amp;dst=100033" TargetMode="External"/><Relationship Id="rId143" Type="http://schemas.openxmlformats.org/officeDocument/2006/relationships/hyperlink" Target="https://login.consultant.ru/link/?req=doc&amp;base=LAW&amp;n=369328&amp;dst=100052" TargetMode="External"/><Relationship Id="rId185" Type="http://schemas.openxmlformats.org/officeDocument/2006/relationships/image" Target="media/image81.wmf"/><Relationship Id="rId350" Type="http://schemas.openxmlformats.org/officeDocument/2006/relationships/image" Target="media/image208.wmf"/><Relationship Id="rId406" Type="http://schemas.openxmlformats.org/officeDocument/2006/relationships/image" Target="media/image256.wmf"/><Relationship Id="rId9" Type="http://schemas.openxmlformats.org/officeDocument/2006/relationships/hyperlink" Target="https://login.consultant.ru/link/?req=doc&amp;base=LAW&amp;n=307689&amp;dst=100006" TargetMode="External"/><Relationship Id="rId210" Type="http://schemas.openxmlformats.org/officeDocument/2006/relationships/image" Target="media/image100.wmf"/><Relationship Id="rId392" Type="http://schemas.openxmlformats.org/officeDocument/2006/relationships/hyperlink" Target="https://login.consultant.ru/link/?req=doc&amp;base=LAW&amp;n=481921&amp;dst=100051" TargetMode="External"/><Relationship Id="rId448" Type="http://schemas.openxmlformats.org/officeDocument/2006/relationships/hyperlink" Target="https://login.consultant.ru/link/?req=doc&amp;base=LAW&amp;n=470834&amp;dst=100297" TargetMode="External"/><Relationship Id="rId252" Type="http://schemas.openxmlformats.org/officeDocument/2006/relationships/image" Target="media/image140.wmf"/><Relationship Id="rId294" Type="http://schemas.openxmlformats.org/officeDocument/2006/relationships/image" Target="media/image167.wmf"/><Relationship Id="rId308" Type="http://schemas.openxmlformats.org/officeDocument/2006/relationships/hyperlink" Target="https://login.consultant.ru/link/?req=doc&amp;base=LAW&amp;n=455707&amp;dst=100025" TargetMode="External"/><Relationship Id="rId47" Type="http://schemas.openxmlformats.org/officeDocument/2006/relationships/image" Target="media/image5.wmf"/><Relationship Id="rId89" Type="http://schemas.openxmlformats.org/officeDocument/2006/relationships/image" Target="media/image7.wmf"/><Relationship Id="rId112" Type="http://schemas.openxmlformats.org/officeDocument/2006/relationships/image" Target="media/image27.wmf"/><Relationship Id="rId154" Type="http://schemas.openxmlformats.org/officeDocument/2006/relationships/hyperlink" Target="https://login.consultant.ru/link/?req=doc&amp;base=LAW&amp;n=481921&amp;dst=100047" TargetMode="External"/><Relationship Id="rId361" Type="http://schemas.openxmlformats.org/officeDocument/2006/relationships/image" Target="media/image215.wmf"/><Relationship Id="rId196" Type="http://schemas.openxmlformats.org/officeDocument/2006/relationships/image" Target="media/image90.wmf"/><Relationship Id="rId417" Type="http://schemas.openxmlformats.org/officeDocument/2006/relationships/image" Target="media/image267.wmf"/><Relationship Id="rId459" Type="http://schemas.openxmlformats.org/officeDocument/2006/relationships/hyperlink" Target="https://login.consultant.ru/link/?req=doc&amp;base=LAW&amp;n=172763&amp;dst=100075" TargetMode="External"/><Relationship Id="rId16" Type="http://schemas.openxmlformats.org/officeDocument/2006/relationships/hyperlink" Target="https://login.consultant.ru/link/?req=doc&amp;base=LAW&amp;n=455707&amp;dst=100007" TargetMode="External"/><Relationship Id="rId221" Type="http://schemas.openxmlformats.org/officeDocument/2006/relationships/image" Target="media/image111.wmf"/><Relationship Id="rId263" Type="http://schemas.openxmlformats.org/officeDocument/2006/relationships/hyperlink" Target="https://login.consultant.ru/link/?req=doc&amp;base=LAW&amp;n=172763&amp;dst=100041" TargetMode="External"/><Relationship Id="rId319" Type="http://schemas.openxmlformats.org/officeDocument/2006/relationships/image" Target="media/image185.wmf"/><Relationship Id="rId470" Type="http://schemas.openxmlformats.org/officeDocument/2006/relationships/image" Target="media/image303.wmf"/><Relationship Id="rId58" Type="http://schemas.openxmlformats.org/officeDocument/2006/relationships/hyperlink" Target="https://login.consultant.ru/link/?req=doc&amp;base=LAW&amp;n=422888&amp;dst=100018" TargetMode="External"/><Relationship Id="rId123" Type="http://schemas.openxmlformats.org/officeDocument/2006/relationships/hyperlink" Target="https://login.consultant.ru/link/?req=doc&amp;base=LAW&amp;n=369328&amp;dst=100050" TargetMode="External"/><Relationship Id="rId330" Type="http://schemas.openxmlformats.org/officeDocument/2006/relationships/hyperlink" Target="https://login.consultant.ru/link/?req=doc&amp;base=LAW&amp;n=338501&amp;dst=100082" TargetMode="External"/><Relationship Id="rId165" Type="http://schemas.openxmlformats.org/officeDocument/2006/relationships/image" Target="media/image61.wmf"/><Relationship Id="rId372" Type="http://schemas.openxmlformats.org/officeDocument/2006/relationships/image" Target="media/image226.wmf"/><Relationship Id="rId428" Type="http://schemas.openxmlformats.org/officeDocument/2006/relationships/image" Target="media/image276.wmf"/><Relationship Id="rId232" Type="http://schemas.openxmlformats.org/officeDocument/2006/relationships/image" Target="media/image122.wmf"/><Relationship Id="rId274" Type="http://schemas.openxmlformats.org/officeDocument/2006/relationships/image" Target="media/image156.wmf"/><Relationship Id="rId481" Type="http://schemas.openxmlformats.org/officeDocument/2006/relationships/hyperlink" Target="https://login.consultant.ru/link/?req=doc&amp;base=LAW&amp;n=338501&amp;dst=100153" TargetMode="External"/><Relationship Id="rId27" Type="http://schemas.openxmlformats.org/officeDocument/2006/relationships/hyperlink" Target="https://login.consultant.ru/link/?req=doc&amp;base=LAW&amp;n=369328&amp;dst=100006" TargetMode="External"/><Relationship Id="rId69" Type="http://schemas.openxmlformats.org/officeDocument/2006/relationships/hyperlink" Target="https://login.consultant.ru/link/?req=doc&amp;base=LAW&amp;n=422888&amp;dst=100030" TargetMode="External"/><Relationship Id="rId134" Type="http://schemas.openxmlformats.org/officeDocument/2006/relationships/image" Target="media/image38.wmf"/><Relationship Id="rId80" Type="http://schemas.openxmlformats.org/officeDocument/2006/relationships/hyperlink" Target="https://login.consultant.ru/link/?req=doc&amp;base=LAW&amp;n=482899" TargetMode="External"/><Relationship Id="rId176" Type="http://schemas.openxmlformats.org/officeDocument/2006/relationships/image" Target="media/image72.wmf"/><Relationship Id="rId341" Type="http://schemas.openxmlformats.org/officeDocument/2006/relationships/image" Target="media/image201.wmf"/><Relationship Id="rId383" Type="http://schemas.openxmlformats.org/officeDocument/2006/relationships/image" Target="media/image237.wmf"/><Relationship Id="rId439" Type="http://schemas.openxmlformats.org/officeDocument/2006/relationships/image" Target="media/image286.wmf"/><Relationship Id="rId201" Type="http://schemas.openxmlformats.org/officeDocument/2006/relationships/image" Target="media/image95.wmf"/><Relationship Id="rId243" Type="http://schemas.openxmlformats.org/officeDocument/2006/relationships/image" Target="media/image132.wmf"/><Relationship Id="rId285" Type="http://schemas.openxmlformats.org/officeDocument/2006/relationships/hyperlink" Target="https://login.consultant.ru/link/?req=doc&amp;base=LAW&amp;n=278503&amp;dst=100015" TargetMode="External"/><Relationship Id="rId450" Type="http://schemas.openxmlformats.org/officeDocument/2006/relationships/image" Target="media/image289.wmf"/><Relationship Id="rId506" Type="http://schemas.openxmlformats.org/officeDocument/2006/relationships/image" Target="media/image312.wmf"/><Relationship Id="rId38" Type="http://schemas.openxmlformats.org/officeDocument/2006/relationships/hyperlink" Target="https://login.consultant.ru/link/?req=doc&amp;base=LAW&amp;n=463212&amp;dst=100013" TargetMode="External"/><Relationship Id="rId103" Type="http://schemas.openxmlformats.org/officeDocument/2006/relationships/image" Target="media/image19.wmf"/><Relationship Id="rId310" Type="http://schemas.openxmlformats.org/officeDocument/2006/relationships/image" Target="media/image179.wmf"/><Relationship Id="rId492" Type="http://schemas.openxmlformats.org/officeDocument/2006/relationships/hyperlink" Target="https://login.consultant.ru/link/?req=doc&amp;base=LAW&amp;n=369328&amp;dst=100165" TargetMode="External"/><Relationship Id="rId91" Type="http://schemas.openxmlformats.org/officeDocument/2006/relationships/image" Target="media/image9.wmf"/><Relationship Id="rId145" Type="http://schemas.openxmlformats.org/officeDocument/2006/relationships/image" Target="media/image45.wmf"/><Relationship Id="rId187" Type="http://schemas.openxmlformats.org/officeDocument/2006/relationships/image" Target="media/image83.wmf"/><Relationship Id="rId352" Type="http://schemas.openxmlformats.org/officeDocument/2006/relationships/hyperlink" Target="https://login.consultant.ru/link/?req=doc&amp;base=LAW&amp;n=470834&amp;dst=26" TargetMode="External"/><Relationship Id="rId394" Type="http://schemas.openxmlformats.org/officeDocument/2006/relationships/hyperlink" Target="https://login.consultant.ru/link/?req=doc&amp;base=LAW&amp;n=481921&amp;dst=100052" TargetMode="External"/><Relationship Id="rId408" Type="http://schemas.openxmlformats.org/officeDocument/2006/relationships/image" Target="media/image258.wmf"/><Relationship Id="rId212" Type="http://schemas.openxmlformats.org/officeDocument/2006/relationships/image" Target="media/image102.wmf"/><Relationship Id="rId254" Type="http://schemas.openxmlformats.org/officeDocument/2006/relationships/hyperlink" Target="https://login.consultant.ru/link/?req=doc&amp;base=LAW&amp;n=213194&amp;dst=100010" TargetMode="External"/><Relationship Id="rId49" Type="http://schemas.openxmlformats.org/officeDocument/2006/relationships/hyperlink" Target="https://login.consultant.ru/link/?req=doc&amp;base=LAW&amp;n=158983&amp;dst=10" TargetMode="External"/><Relationship Id="rId114" Type="http://schemas.openxmlformats.org/officeDocument/2006/relationships/hyperlink" Target="https://login.consultant.ru/link/?req=doc&amp;base=LAW&amp;n=485185&amp;dst=100011" TargetMode="External"/><Relationship Id="rId296" Type="http://schemas.openxmlformats.org/officeDocument/2006/relationships/image" Target="media/image168.wmf"/><Relationship Id="rId461" Type="http://schemas.openxmlformats.org/officeDocument/2006/relationships/image" Target="media/image295.wmf"/><Relationship Id="rId60" Type="http://schemas.openxmlformats.org/officeDocument/2006/relationships/hyperlink" Target="https://login.consultant.ru/link/?req=doc&amp;base=LAW&amp;n=470834&amp;dst=100188" TargetMode="External"/><Relationship Id="rId156" Type="http://schemas.openxmlformats.org/officeDocument/2006/relationships/image" Target="media/image52.wmf"/><Relationship Id="rId198" Type="http://schemas.openxmlformats.org/officeDocument/2006/relationships/image" Target="media/image92.wmf"/><Relationship Id="rId321" Type="http://schemas.openxmlformats.org/officeDocument/2006/relationships/image" Target="media/image187.wmf"/><Relationship Id="rId363" Type="http://schemas.openxmlformats.org/officeDocument/2006/relationships/image" Target="media/image217.wmf"/><Relationship Id="rId419" Type="http://schemas.openxmlformats.org/officeDocument/2006/relationships/image" Target="media/image269.wmf"/><Relationship Id="rId223" Type="http://schemas.openxmlformats.org/officeDocument/2006/relationships/image" Target="media/image113.wmf"/><Relationship Id="rId430" Type="http://schemas.openxmlformats.org/officeDocument/2006/relationships/image" Target="media/image278.wmf"/><Relationship Id="rId18" Type="http://schemas.openxmlformats.org/officeDocument/2006/relationships/hyperlink" Target="https://login.consultant.ru/link/?req=doc&amp;base=LAW&amp;n=471092&amp;dst=100071" TargetMode="External"/><Relationship Id="rId265" Type="http://schemas.openxmlformats.org/officeDocument/2006/relationships/image" Target="media/image149.wmf"/><Relationship Id="rId472" Type="http://schemas.openxmlformats.org/officeDocument/2006/relationships/hyperlink" Target="https://login.consultant.ru/link/?req=doc&amp;base=LAW&amp;n=482899" TargetMode="External"/><Relationship Id="rId125" Type="http://schemas.openxmlformats.org/officeDocument/2006/relationships/hyperlink" Target="https://login.consultant.ru/link/?req=doc&amp;base=LAW&amp;n=338501&amp;dst=100019" TargetMode="External"/><Relationship Id="rId167" Type="http://schemas.openxmlformats.org/officeDocument/2006/relationships/image" Target="media/image63.wmf"/><Relationship Id="rId332" Type="http://schemas.openxmlformats.org/officeDocument/2006/relationships/hyperlink" Target="https://login.consultant.ru/link/?req=doc&amp;base=LAW&amp;n=338501&amp;dst=100089" TargetMode="External"/><Relationship Id="rId374" Type="http://schemas.openxmlformats.org/officeDocument/2006/relationships/image" Target="media/image228.wmf"/><Relationship Id="rId71" Type="http://schemas.openxmlformats.org/officeDocument/2006/relationships/hyperlink" Target="https://login.consultant.ru/link/?req=doc&amp;base=LAW&amp;n=422888&amp;dst=100032" TargetMode="External"/><Relationship Id="rId234" Type="http://schemas.openxmlformats.org/officeDocument/2006/relationships/image" Target="media/image124.wmf"/><Relationship Id="rId2" Type="http://schemas.openxmlformats.org/officeDocument/2006/relationships/settings" Target="settings.xml"/><Relationship Id="rId29" Type="http://schemas.openxmlformats.org/officeDocument/2006/relationships/hyperlink" Target="https://login.consultant.ru/link/?req=doc&amp;base=LAW&amp;n=417128&amp;dst=100007" TargetMode="External"/><Relationship Id="rId276" Type="http://schemas.openxmlformats.org/officeDocument/2006/relationships/image" Target="media/image158.wmf"/><Relationship Id="rId441" Type="http://schemas.openxmlformats.org/officeDocument/2006/relationships/image" Target="media/image288.wmf"/><Relationship Id="rId483" Type="http://schemas.openxmlformats.org/officeDocument/2006/relationships/hyperlink" Target="https://login.consultant.ru/link/?req=doc&amp;base=LAW&amp;n=482877&amp;dst=100600" TargetMode="External"/><Relationship Id="rId40" Type="http://schemas.openxmlformats.org/officeDocument/2006/relationships/hyperlink" Target="https://login.consultant.ru/link/?req=doc&amp;base=LAW&amp;n=413946&amp;dst=100019" TargetMode="External"/><Relationship Id="rId136" Type="http://schemas.openxmlformats.org/officeDocument/2006/relationships/image" Target="media/image40.wmf"/><Relationship Id="rId178" Type="http://schemas.openxmlformats.org/officeDocument/2006/relationships/image" Target="media/image74.wmf"/><Relationship Id="rId301" Type="http://schemas.openxmlformats.org/officeDocument/2006/relationships/image" Target="media/image173.wmf"/><Relationship Id="rId343" Type="http://schemas.openxmlformats.org/officeDocument/2006/relationships/hyperlink" Target="https://login.consultant.ru/link/?req=doc&amp;base=LAW&amp;n=470834&amp;dst=100128" TargetMode="External"/><Relationship Id="rId82" Type="http://schemas.openxmlformats.org/officeDocument/2006/relationships/hyperlink" Target="https://login.consultant.ru/link/?req=doc&amp;base=LAW&amp;n=470834&amp;dst=39" TargetMode="External"/><Relationship Id="rId203" Type="http://schemas.openxmlformats.org/officeDocument/2006/relationships/image" Target="media/image96.wmf"/><Relationship Id="rId385" Type="http://schemas.openxmlformats.org/officeDocument/2006/relationships/image" Target="media/image239.wmf"/><Relationship Id="rId245" Type="http://schemas.openxmlformats.org/officeDocument/2006/relationships/image" Target="media/image134.wmf"/><Relationship Id="rId287" Type="http://schemas.openxmlformats.org/officeDocument/2006/relationships/image" Target="media/image163.wmf"/><Relationship Id="rId410" Type="http://schemas.openxmlformats.org/officeDocument/2006/relationships/image" Target="media/image260.wmf"/><Relationship Id="rId452" Type="http://schemas.openxmlformats.org/officeDocument/2006/relationships/hyperlink" Target="https://login.consultant.ru/link/?req=doc&amp;base=LAW&amp;n=461309&amp;dst=100590" TargetMode="External"/><Relationship Id="rId494" Type="http://schemas.openxmlformats.org/officeDocument/2006/relationships/hyperlink" Target="https://login.consultant.ru/link/?req=doc&amp;base=LAW&amp;n=172763&amp;dst=100011" TargetMode="External"/><Relationship Id="rId508" Type="http://schemas.openxmlformats.org/officeDocument/2006/relationships/hyperlink" Target="https://login.consultant.ru/link/?req=doc&amp;base=LAW&amp;n=172763&amp;dst=100013" TargetMode="External"/><Relationship Id="rId105" Type="http://schemas.openxmlformats.org/officeDocument/2006/relationships/image" Target="media/image21.wmf"/><Relationship Id="rId147" Type="http://schemas.openxmlformats.org/officeDocument/2006/relationships/image" Target="media/image47.wmf"/><Relationship Id="rId312" Type="http://schemas.openxmlformats.org/officeDocument/2006/relationships/hyperlink" Target="https://login.consultant.ru/link/?req=doc&amp;base=LAW&amp;n=470834&amp;dst=205" TargetMode="External"/><Relationship Id="rId354" Type="http://schemas.openxmlformats.org/officeDocument/2006/relationships/hyperlink" Target="https://login.consultant.ru/link/?req=doc&amp;base=LAW&amp;n=455707&amp;dst=100027" TargetMode="External"/><Relationship Id="rId51" Type="http://schemas.openxmlformats.org/officeDocument/2006/relationships/hyperlink" Target="https://login.consultant.ru/link/?req=doc&amp;base=LAW&amp;n=470834&amp;dst=100133" TargetMode="External"/><Relationship Id="rId93" Type="http://schemas.openxmlformats.org/officeDocument/2006/relationships/image" Target="media/image11.wmf"/><Relationship Id="rId189" Type="http://schemas.openxmlformats.org/officeDocument/2006/relationships/hyperlink" Target="https://login.consultant.ru/link/?req=doc&amp;base=LAW&amp;n=481921&amp;dst=100048" TargetMode="External"/><Relationship Id="rId396" Type="http://schemas.openxmlformats.org/officeDocument/2006/relationships/hyperlink" Target="https://login.consultant.ru/link/?req=doc&amp;base=LAW&amp;n=369328&amp;dst=100054" TargetMode="External"/><Relationship Id="rId214" Type="http://schemas.openxmlformats.org/officeDocument/2006/relationships/image" Target="media/image104.wmf"/><Relationship Id="rId256" Type="http://schemas.openxmlformats.org/officeDocument/2006/relationships/image" Target="media/image143.wmf"/><Relationship Id="rId298" Type="http://schemas.openxmlformats.org/officeDocument/2006/relationships/image" Target="media/image170.wmf"/><Relationship Id="rId421" Type="http://schemas.openxmlformats.org/officeDocument/2006/relationships/image" Target="media/image271.wmf"/><Relationship Id="rId463" Type="http://schemas.openxmlformats.org/officeDocument/2006/relationships/hyperlink" Target="https://login.consultant.ru/link/?req=doc&amp;base=LAW&amp;n=172763&amp;dst=100076" TargetMode="External"/><Relationship Id="rId116" Type="http://schemas.openxmlformats.org/officeDocument/2006/relationships/hyperlink" Target="https://login.consultant.ru/link/?req=doc&amp;base=LAW&amp;n=485185&amp;dst=100012" TargetMode="External"/><Relationship Id="rId158" Type="http://schemas.openxmlformats.org/officeDocument/2006/relationships/image" Target="media/image54.wmf"/><Relationship Id="rId323" Type="http://schemas.openxmlformats.org/officeDocument/2006/relationships/image" Target="media/image189.wmf"/><Relationship Id="rId20" Type="http://schemas.openxmlformats.org/officeDocument/2006/relationships/hyperlink" Target="https://login.consultant.ru/link/?req=doc&amp;base=LAW&amp;n=455707&amp;dst=100022" TargetMode="External"/><Relationship Id="rId62" Type="http://schemas.openxmlformats.org/officeDocument/2006/relationships/hyperlink" Target="https://login.consultant.ru/link/?req=doc&amp;base=LAW&amp;n=481921&amp;dst=100041" TargetMode="External"/><Relationship Id="rId365" Type="http://schemas.openxmlformats.org/officeDocument/2006/relationships/image" Target="media/image219.wmf"/><Relationship Id="rId225" Type="http://schemas.openxmlformats.org/officeDocument/2006/relationships/image" Target="media/image115.wmf"/><Relationship Id="rId267" Type="http://schemas.openxmlformats.org/officeDocument/2006/relationships/image" Target="media/image150.wmf"/><Relationship Id="rId432" Type="http://schemas.openxmlformats.org/officeDocument/2006/relationships/image" Target="media/image280.wmf"/><Relationship Id="rId474" Type="http://schemas.openxmlformats.org/officeDocument/2006/relationships/hyperlink" Target="https://login.consultant.ru/link/?req=doc&amp;base=LAW&amp;n=278503&amp;dst=100017" TargetMode="External"/><Relationship Id="rId127" Type="http://schemas.openxmlformats.org/officeDocument/2006/relationships/hyperlink" Target="https://login.consultant.ru/link/?req=doc&amp;base=LAW&amp;n=338501&amp;dst=100022" TargetMode="External"/><Relationship Id="rId31" Type="http://schemas.openxmlformats.org/officeDocument/2006/relationships/hyperlink" Target="https://login.consultant.ru/link/?req=doc&amp;base=LAW&amp;n=422888&amp;dst=100006" TargetMode="External"/><Relationship Id="rId73" Type="http://schemas.openxmlformats.org/officeDocument/2006/relationships/hyperlink" Target="https://login.consultant.ru/link/?req=doc&amp;base=LAW&amp;n=443550&amp;dst=100021" TargetMode="External"/><Relationship Id="rId169" Type="http://schemas.openxmlformats.org/officeDocument/2006/relationships/image" Target="media/image65.wmf"/><Relationship Id="rId334" Type="http://schemas.openxmlformats.org/officeDocument/2006/relationships/hyperlink" Target="https://login.consultant.ru/link/?req=doc&amp;base=LAW&amp;n=432985&amp;dst=100041" TargetMode="External"/><Relationship Id="rId376" Type="http://schemas.openxmlformats.org/officeDocument/2006/relationships/image" Target="media/image230.wmf"/><Relationship Id="rId4" Type="http://schemas.openxmlformats.org/officeDocument/2006/relationships/hyperlink" Target="https://www.consultant.ru" TargetMode="External"/><Relationship Id="rId180" Type="http://schemas.openxmlformats.org/officeDocument/2006/relationships/image" Target="media/image76.wmf"/><Relationship Id="rId236" Type="http://schemas.openxmlformats.org/officeDocument/2006/relationships/image" Target="media/image125.wmf"/><Relationship Id="rId278" Type="http://schemas.openxmlformats.org/officeDocument/2006/relationships/image" Target="media/image160.wmf"/><Relationship Id="rId401" Type="http://schemas.openxmlformats.org/officeDocument/2006/relationships/image" Target="media/image251.wmf"/><Relationship Id="rId443" Type="http://schemas.openxmlformats.org/officeDocument/2006/relationships/hyperlink" Target="https://login.consultant.ru/link/?req=doc&amp;base=LAW&amp;n=482877&amp;dst=100600" TargetMode="External"/><Relationship Id="rId303" Type="http://schemas.openxmlformats.org/officeDocument/2006/relationships/image" Target="media/image175.wmf"/><Relationship Id="rId485" Type="http://schemas.openxmlformats.org/officeDocument/2006/relationships/hyperlink" Target="https://login.consultant.ru/link/?req=doc&amp;base=LAW&amp;n=482877&amp;dst=100605" TargetMode="External"/><Relationship Id="rId42" Type="http://schemas.openxmlformats.org/officeDocument/2006/relationships/hyperlink" Target="https://login.consultant.ru/link/?req=doc&amp;base=LAW&amp;n=421209&amp;dst=100021" TargetMode="External"/><Relationship Id="rId84" Type="http://schemas.openxmlformats.org/officeDocument/2006/relationships/hyperlink" Target="https://login.consultant.ru/link/?req=doc&amp;base=LAW&amp;n=278503&amp;dst=100013" TargetMode="External"/><Relationship Id="rId138" Type="http://schemas.openxmlformats.org/officeDocument/2006/relationships/image" Target="media/image42.wmf"/><Relationship Id="rId345" Type="http://schemas.openxmlformats.org/officeDocument/2006/relationships/image" Target="media/image203.wmf"/><Relationship Id="rId387" Type="http://schemas.openxmlformats.org/officeDocument/2006/relationships/image" Target="media/image241.wmf"/><Relationship Id="rId510" Type="http://schemas.openxmlformats.org/officeDocument/2006/relationships/theme" Target="theme/theme1.xml"/><Relationship Id="rId191" Type="http://schemas.openxmlformats.org/officeDocument/2006/relationships/image" Target="media/image85.wmf"/><Relationship Id="rId205" Type="http://schemas.openxmlformats.org/officeDocument/2006/relationships/hyperlink" Target="https://login.consultant.ru/link/?req=doc&amp;base=LAW&amp;n=470834&amp;dst=100459" TargetMode="External"/><Relationship Id="rId247" Type="http://schemas.openxmlformats.org/officeDocument/2006/relationships/image" Target="media/image136.wmf"/><Relationship Id="rId412" Type="http://schemas.openxmlformats.org/officeDocument/2006/relationships/image" Target="media/image262.wmf"/><Relationship Id="rId107" Type="http://schemas.openxmlformats.org/officeDocument/2006/relationships/hyperlink" Target="https://login.consultant.ru/link/?req=doc&amp;base=LAW&amp;n=338501&amp;dst=100012" TargetMode="External"/><Relationship Id="rId289" Type="http://schemas.openxmlformats.org/officeDocument/2006/relationships/image" Target="media/image165.wmf"/><Relationship Id="rId454" Type="http://schemas.openxmlformats.org/officeDocument/2006/relationships/image" Target="media/image291.wmf"/><Relationship Id="rId496" Type="http://schemas.openxmlformats.org/officeDocument/2006/relationships/hyperlink" Target="https://login.consultant.ru/link/?req=doc&amp;base=LAW&amp;n=221027&amp;dst=100028" TargetMode="External"/><Relationship Id="rId11" Type="http://schemas.openxmlformats.org/officeDocument/2006/relationships/hyperlink" Target="https://login.consultant.ru/link/?req=doc&amp;base=LAW&amp;n=369328&amp;dst=100006" TargetMode="External"/><Relationship Id="rId53" Type="http://schemas.openxmlformats.org/officeDocument/2006/relationships/hyperlink" Target="https://login.consultant.ru/link/?req=doc&amp;base=LAW&amp;n=353496&amp;dst=100013" TargetMode="External"/><Relationship Id="rId149" Type="http://schemas.openxmlformats.org/officeDocument/2006/relationships/image" Target="media/image49.wmf"/><Relationship Id="rId314" Type="http://schemas.openxmlformats.org/officeDocument/2006/relationships/hyperlink" Target="https://login.consultant.ru/link/?req=doc&amp;base=LAW&amp;n=338501&amp;dst=100038" TargetMode="External"/><Relationship Id="rId356" Type="http://schemas.openxmlformats.org/officeDocument/2006/relationships/image" Target="media/image210.wmf"/><Relationship Id="rId398" Type="http://schemas.openxmlformats.org/officeDocument/2006/relationships/image" Target="media/image248.wmf"/><Relationship Id="rId95" Type="http://schemas.openxmlformats.org/officeDocument/2006/relationships/image" Target="media/image13.wmf"/><Relationship Id="rId160" Type="http://schemas.openxmlformats.org/officeDocument/2006/relationships/image" Target="media/image56.wmf"/><Relationship Id="rId216" Type="http://schemas.openxmlformats.org/officeDocument/2006/relationships/image" Target="media/image106.wmf"/><Relationship Id="rId423" Type="http://schemas.openxmlformats.org/officeDocument/2006/relationships/image" Target="media/image273.wmf"/><Relationship Id="rId258" Type="http://schemas.openxmlformats.org/officeDocument/2006/relationships/image" Target="media/image145.wmf"/><Relationship Id="rId465" Type="http://schemas.openxmlformats.org/officeDocument/2006/relationships/image" Target="media/image298.wmf"/><Relationship Id="rId22" Type="http://schemas.openxmlformats.org/officeDocument/2006/relationships/hyperlink" Target="https://login.consultant.ru/link/?req=doc&amp;base=LAW&amp;n=182845&amp;dst=100007" TargetMode="External"/><Relationship Id="rId64" Type="http://schemas.openxmlformats.org/officeDocument/2006/relationships/hyperlink" Target="https://login.consultant.ru/link/?req=doc&amp;base=LAW&amp;n=481921&amp;dst=100042" TargetMode="External"/><Relationship Id="rId118" Type="http://schemas.openxmlformats.org/officeDocument/2006/relationships/image" Target="media/image29.wmf"/><Relationship Id="rId325" Type="http://schemas.openxmlformats.org/officeDocument/2006/relationships/hyperlink" Target="https://login.consultant.ru/link/?req=doc&amp;base=LAW&amp;n=338501&amp;dst=100076" TargetMode="External"/><Relationship Id="rId367" Type="http://schemas.openxmlformats.org/officeDocument/2006/relationships/image" Target="media/image221.wmf"/><Relationship Id="rId171" Type="http://schemas.openxmlformats.org/officeDocument/2006/relationships/image" Target="media/image67.wmf"/><Relationship Id="rId227" Type="http://schemas.openxmlformats.org/officeDocument/2006/relationships/image" Target="media/image117.wmf"/><Relationship Id="rId269" Type="http://schemas.openxmlformats.org/officeDocument/2006/relationships/image" Target="media/image152.wmf"/><Relationship Id="rId434" Type="http://schemas.openxmlformats.org/officeDocument/2006/relationships/image" Target="media/image282.wmf"/><Relationship Id="rId476" Type="http://schemas.openxmlformats.org/officeDocument/2006/relationships/hyperlink" Target="https://login.consultant.ru/link/?req=doc&amp;base=LAW&amp;n=172763&amp;dst=100007" TargetMode="External"/><Relationship Id="rId33" Type="http://schemas.openxmlformats.org/officeDocument/2006/relationships/hyperlink" Target="https://login.consultant.ru/link/?req=doc&amp;base=LAW&amp;n=485185&amp;dst=100006" TargetMode="External"/><Relationship Id="rId129" Type="http://schemas.openxmlformats.org/officeDocument/2006/relationships/image" Target="media/image34.wmf"/><Relationship Id="rId280" Type="http://schemas.openxmlformats.org/officeDocument/2006/relationships/image" Target="media/image162.wmf"/><Relationship Id="rId336" Type="http://schemas.openxmlformats.org/officeDocument/2006/relationships/image" Target="media/image197.wmf"/><Relationship Id="rId501" Type="http://schemas.openxmlformats.org/officeDocument/2006/relationships/image" Target="media/image307.wmf"/><Relationship Id="rId75" Type="http://schemas.openxmlformats.org/officeDocument/2006/relationships/hyperlink" Target="https://login.consultant.ru/link/?req=doc&amp;base=LAW&amp;n=422888&amp;dst=100054" TargetMode="External"/><Relationship Id="rId140" Type="http://schemas.openxmlformats.org/officeDocument/2006/relationships/hyperlink" Target="https://login.consultant.ru/link/?req=doc&amp;base=LAW&amp;n=221027&amp;dst=100024" TargetMode="External"/><Relationship Id="rId182" Type="http://schemas.openxmlformats.org/officeDocument/2006/relationships/image" Target="media/image78.wmf"/><Relationship Id="rId378" Type="http://schemas.openxmlformats.org/officeDocument/2006/relationships/image" Target="media/image232.wmf"/><Relationship Id="rId403" Type="http://schemas.openxmlformats.org/officeDocument/2006/relationships/image" Target="media/image253.wmf"/><Relationship Id="rId6" Type="http://schemas.openxmlformats.org/officeDocument/2006/relationships/hyperlink" Target="https://login.consultant.ru/link/?req=doc&amp;base=LAW&amp;n=182845&amp;dst=100007" TargetMode="External"/><Relationship Id="rId238" Type="http://schemas.openxmlformats.org/officeDocument/2006/relationships/image" Target="media/image127.wmf"/><Relationship Id="rId445" Type="http://schemas.openxmlformats.org/officeDocument/2006/relationships/hyperlink" Target="https://login.consultant.ru/link/?req=doc&amp;base=LAW&amp;n=482877&amp;dst=100605" TargetMode="External"/><Relationship Id="rId487" Type="http://schemas.openxmlformats.org/officeDocument/2006/relationships/hyperlink" Target="https://login.consultant.ru/link/?req=doc&amp;base=LAW&amp;n=312528" TargetMode="External"/><Relationship Id="rId291" Type="http://schemas.openxmlformats.org/officeDocument/2006/relationships/hyperlink" Target="https://login.consultant.ru/link/?req=doc&amp;base=LAW&amp;n=470834&amp;dst=100254" TargetMode="External"/><Relationship Id="rId305" Type="http://schemas.openxmlformats.org/officeDocument/2006/relationships/image" Target="media/image177.wmf"/><Relationship Id="rId347" Type="http://schemas.openxmlformats.org/officeDocument/2006/relationships/image" Target="media/image205.wmf"/><Relationship Id="rId44" Type="http://schemas.openxmlformats.org/officeDocument/2006/relationships/image" Target="media/image2.wmf"/><Relationship Id="rId86" Type="http://schemas.openxmlformats.org/officeDocument/2006/relationships/hyperlink" Target="https://login.consultant.ru/link/?req=doc&amp;base=LAW&amp;n=470834&amp;dst=100116" TargetMode="External"/><Relationship Id="rId151" Type="http://schemas.openxmlformats.org/officeDocument/2006/relationships/hyperlink" Target="https://login.consultant.ru/link/?req=doc&amp;base=LAW&amp;n=481921&amp;dst=100043" TargetMode="External"/><Relationship Id="rId389" Type="http://schemas.openxmlformats.org/officeDocument/2006/relationships/image" Target="media/image243.wmf"/><Relationship Id="rId193" Type="http://schemas.openxmlformats.org/officeDocument/2006/relationships/image" Target="media/image87.wmf"/><Relationship Id="rId207" Type="http://schemas.openxmlformats.org/officeDocument/2006/relationships/image" Target="media/image97.wmf"/><Relationship Id="rId249" Type="http://schemas.openxmlformats.org/officeDocument/2006/relationships/image" Target="media/image138.wmf"/><Relationship Id="rId414" Type="http://schemas.openxmlformats.org/officeDocument/2006/relationships/image" Target="media/image264.wmf"/><Relationship Id="rId456" Type="http://schemas.openxmlformats.org/officeDocument/2006/relationships/hyperlink" Target="https://login.consultant.ru/link/?req=doc&amp;base=LAW&amp;n=172763&amp;dst=100073" TargetMode="External"/><Relationship Id="rId498" Type="http://schemas.openxmlformats.org/officeDocument/2006/relationships/hyperlink" Target="https://login.consultant.ru/link/?req=doc&amp;base=LAW&amp;n=369328&amp;dst=100215" TargetMode="External"/><Relationship Id="rId13" Type="http://schemas.openxmlformats.org/officeDocument/2006/relationships/hyperlink" Target="https://login.consultant.ru/link/?req=doc&amp;base=LAW&amp;n=417128&amp;dst=100007" TargetMode="External"/><Relationship Id="rId109" Type="http://schemas.openxmlformats.org/officeDocument/2006/relationships/image" Target="media/image24.wmf"/><Relationship Id="rId260" Type="http://schemas.openxmlformats.org/officeDocument/2006/relationships/image" Target="media/image147.wmf"/><Relationship Id="rId316" Type="http://schemas.openxmlformats.org/officeDocument/2006/relationships/image" Target="media/image182.wmf"/><Relationship Id="rId55" Type="http://schemas.openxmlformats.org/officeDocument/2006/relationships/hyperlink" Target="https://login.consultant.ru/link/?req=doc&amp;base=LAW&amp;n=172763&amp;dst=100019" TargetMode="External"/><Relationship Id="rId97" Type="http://schemas.openxmlformats.org/officeDocument/2006/relationships/image" Target="media/image15.wmf"/><Relationship Id="rId120" Type="http://schemas.openxmlformats.org/officeDocument/2006/relationships/image" Target="media/image31.wmf"/><Relationship Id="rId358" Type="http://schemas.openxmlformats.org/officeDocument/2006/relationships/image" Target="media/image212.wmf"/><Relationship Id="rId162" Type="http://schemas.openxmlformats.org/officeDocument/2006/relationships/image" Target="media/image58.wmf"/><Relationship Id="rId218" Type="http://schemas.openxmlformats.org/officeDocument/2006/relationships/image" Target="media/image108.wmf"/><Relationship Id="rId425" Type="http://schemas.openxmlformats.org/officeDocument/2006/relationships/hyperlink" Target="https://login.consultant.ru/link/?req=doc&amp;base=LAW&amp;n=338501&amp;dst=100145" TargetMode="External"/><Relationship Id="rId467" Type="http://schemas.openxmlformats.org/officeDocument/2006/relationships/image" Target="media/image300.wmf"/><Relationship Id="rId271" Type="http://schemas.openxmlformats.org/officeDocument/2006/relationships/image" Target="media/image154.wmf"/><Relationship Id="rId24" Type="http://schemas.openxmlformats.org/officeDocument/2006/relationships/hyperlink" Target="https://login.consultant.ru/link/?req=doc&amp;base=LAW&amp;n=278503&amp;dst=100006" TargetMode="External"/><Relationship Id="rId66" Type="http://schemas.openxmlformats.org/officeDocument/2006/relationships/hyperlink" Target="https://login.consultant.ru/link/?req=doc&amp;base=LAW&amp;n=369328&amp;dst=100014" TargetMode="External"/><Relationship Id="rId131" Type="http://schemas.openxmlformats.org/officeDocument/2006/relationships/image" Target="media/image36.wmf"/><Relationship Id="rId327" Type="http://schemas.openxmlformats.org/officeDocument/2006/relationships/image" Target="media/image191.wmf"/><Relationship Id="rId369" Type="http://schemas.openxmlformats.org/officeDocument/2006/relationships/image" Target="media/image223.wmf"/><Relationship Id="rId173" Type="http://schemas.openxmlformats.org/officeDocument/2006/relationships/image" Target="media/image69.wmf"/><Relationship Id="rId229" Type="http://schemas.openxmlformats.org/officeDocument/2006/relationships/image" Target="media/image119.wmf"/><Relationship Id="rId380" Type="http://schemas.openxmlformats.org/officeDocument/2006/relationships/image" Target="media/image234.wmf"/><Relationship Id="rId436" Type="http://schemas.openxmlformats.org/officeDocument/2006/relationships/image" Target="media/image284.wmf"/><Relationship Id="rId240" Type="http://schemas.openxmlformats.org/officeDocument/2006/relationships/image" Target="media/image129.wmf"/><Relationship Id="rId478" Type="http://schemas.openxmlformats.org/officeDocument/2006/relationships/hyperlink" Target="https://login.consultant.ru/link/?req=doc&amp;base=LAW&amp;n=172763&amp;dst=100008" TargetMode="External"/><Relationship Id="rId35" Type="http://schemas.openxmlformats.org/officeDocument/2006/relationships/hyperlink" Target="https://login.consultant.ru/link/?req=doc&amp;base=LAW&amp;n=470834&amp;dst=100023" TargetMode="External"/><Relationship Id="rId77" Type="http://schemas.openxmlformats.org/officeDocument/2006/relationships/hyperlink" Target="https://login.consultant.ru/link/?req=doc&amp;base=LAW&amp;n=182845&amp;dst=100017" TargetMode="External"/><Relationship Id="rId100" Type="http://schemas.openxmlformats.org/officeDocument/2006/relationships/hyperlink" Target="https://login.consultant.ru/link/?req=doc&amp;base=LAW&amp;n=172763&amp;dst=100031" TargetMode="External"/><Relationship Id="rId282" Type="http://schemas.openxmlformats.org/officeDocument/2006/relationships/hyperlink" Target="https://login.consultant.ru/link/?req=doc&amp;base=LAW&amp;n=482899" TargetMode="External"/><Relationship Id="rId338" Type="http://schemas.openxmlformats.org/officeDocument/2006/relationships/image" Target="media/image199.wmf"/><Relationship Id="rId503" Type="http://schemas.openxmlformats.org/officeDocument/2006/relationships/image" Target="media/image309.wmf"/><Relationship Id="rId8" Type="http://schemas.openxmlformats.org/officeDocument/2006/relationships/hyperlink" Target="https://login.consultant.ru/link/?req=doc&amp;base=LAW&amp;n=278503&amp;dst=100006" TargetMode="External"/><Relationship Id="rId142" Type="http://schemas.openxmlformats.org/officeDocument/2006/relationships/hyperlink" Target="https://login.consultant.ru/link/?req=doc&amp;base=LAW&amp;n=221027&amp;dst=100027" TargetMode="External"/><Relationship Id="rId184" Type="http://schemas.openxmlformats.org/officeDocument/2006/relationships/image" Target="media/image80.wmf"/><Relationship Id="rId391" Type="http://schemas.openxmlformats.org/officeDocument/2006/relationships/image" Target="media/image245.wmf"/><Relationship Id="rId405" Type="http://schemas.openxmlformats.org/officeDocument/2006/relationships/image" Target="media/image255.wmf"/><Relationship Id="rId447" Type="http://schemas.openxmlformats.org/officeDocument/2006/relationships/hyperlink" Target="https://login.consultant.ru/link/?req=doc&amp;base=LAW&amp;n=470834&amp;dst=100296" TargetMode="External"/><Relationship Id="rId251" Type="http://schemas.openxmlformats.org/officeDocument/2006/relationships/hyperlink" Target="https://login.consultant.ru/link/?req=doc&amp;base=LAW&amp;n=468092&amp;dst=100006" TargetMode="External"/><Relationship Id="rId489" Type="http://schemas.openxmlformats.org/officeDocument/2006/relationships/hyperlink" Target="https://login.consultant.ru/link/?req=doc&amp;base=LAW&amp;n=312528" TargetMode="External"/><Relationship Id="rId46" Type="http://schemas.openxmlformats.org/officeDocument/2006/relationships/image" Target="media/image4.wmf"/><Relationship Id="rId293" Type="http://schemas.openxmlformats.org/officeDocument/2006/relationships/hyperlink" Target="https://login.consultant.ru/link/?req=doc&amp;base=LAW&amp;n=485185&amp;dst=100016" TargetMode="External"/><Relationship Id="rId307" Type="http://schemas.openxmlformats.org/officeDocument/2006/relationships/hyperlink" Target="https://login.consultant.ru/link/?req=doc&amp;base=LAW&amp;n=470834&amp;dst=288" TargetMode="External"/><Relationship Id="rId349" Type="http://schemas.openxmlformats.org/officeDocument/2006/relationships/image" Target="media/image207.wmf"/><Relationship Id="rId88" Type="http://schemas.openxmlformats.org/officeDocument/2006/relationships/hyperlink" Target="https://login.consultant.ru/link/?req=doc&amp;base=LAW&amp;n=369328&amp;dst=100016" TargetMode="External"/><Relationship Id="rId111" Type="http://schemas.openxmlformats.org/officeDocument/2006/relationships/image" Target="media/image26.wmf"/><Relationship Id="rId153" Type="http://schemas.openxmlformats.org/officeDocument/2006/relationships/hyperlink" Target="https://login.consultant.ru/link/?req=doc&amp;base=LAW&amp;n=481921&amp;dst=100045" TargetMode="External"/><Relationship Id="rId195" Type="http://schemas.openxmlformats.org/officeDocument/2006/relationships/image" Target="media/image89.wmf"/><Relationship Id="rId209" Type="http://schemas.openxmlformats.org/officeDocument/2006/relationships/image" Target="media/image99.wmf"/><Relationship Id="rId360" Type="http://schemas.openxmlformats.org/officeDocument/2006/relationships/image" Target="media/image214.wmf"/><Relationship Id="rId416" Type="http://schemas.openxmlformats.org/officeDocument/2006/relationships/image" Target="media/image266.wmf"/><Relationship Id="rId220" Type="http://schemas.openxmlformats.org/officeDocument/2006/relationships/image" Target="media/image110.wmf"/><Relationship Id="rId458" Type="http://schemas.openxmlformats.org/officeDocument/2006/relationships/hyperlink" Target="https://login.consultant.ru/link/?req=doc&amp;base=LAW&amp;n=172763&amp;dst=100074" TargetMode="External"/><Relationship Id="rId15" Type="http://schemas.openxmlformats.org/officeDocument/2006/relationships/hyperlink" Target="https://login.consultant.ru/link/?req=doc&amp;base=LAW&amp;n=422888&amp;dst=100006" TargetMode="External"/><Relationship Id="rId57" Type="http://schemas.openxmlformats.org/officeDocument/2006/relationships/hyperlink" Target="https://login.consultant.ru/link/?req=doc&amp;base=LAW&amp;n=422888&amp;dst=100012" TargetMode="External"/><Relationship Id="rId262" Type="http://schemas.openxmlformats.org/officeDocument/2006/relationships/hyperlink" Target="https://login.consultant.ru/link/?req=doc&amp;base=LAW&amp;n=172763&amp;dst=100039" TargetMode="External"/><Relationship Id="rId318" Type="http://schemas.openxmlformats.org/officeDocument/2006/relationships/image" Target="media/image184.wmf"/><Relationship Id="rId99" Type="http://schemas.openxmlformats.org/officeDocument/2006/relationships/image" Target="media/image17.wmf"/><Relationship Id="rId122" Type="http://schemas.openxmlformats.org/officeDocument/2006/relationships/image" Target="media/image33.wmf"/><Relationship Id="rId164" Type="http://schemas.openxmlformats.org/officeDocument/2006/relationships/image" Target="media/image60.wmf"/><Relationship Id="rId371" Type="http://schemas.openxmlformats.org/officeDocument/2006/relationships/image" Target="media/image225.wmf"/><Relationship Id="rId427" Type="http://schemas.openxmlformats.org/officeDocument/2006/relationships/image" Target="media/image275.wmf"/><Relationship Id="rId469" Type="http://schemas.openxmlformats.org/officeDocument/2006/relationships/image" Target="media/image302.wmf"/><Relationship Id="rId26" Type="http://schemas.openxmlformats.org/officeDocument/2006/relationships/hyperlink" Target="https://login.consultant.ru/link/?req=doc&amp;base=LAW&amp;n=338501&amp;dst=100006" TargetMode="External"/><Relationship Id="rId231" Type="http://schemas.openxmlformats.org/officeDocument/2006/relationships/image" Target="media/image121.wmf"/><Relationship Id="rId273" Type="http://schemas.openxmlformats.org/officeDocument/2006/relationships/hyperlink" Target="https://login.consultant.ru/link/?req=doc&amp;base=LAW&amp;n=172763&amp;dst=100045" TargetMode="External"/><Relationship Id="rId329" Type="http://schemas.openxmlformats.org/officeDocument/2006/relationships/image" Target="media/image193.wmf"/><Relationship Id="rId480" Type="http://schemas.openxmlformats.org/officeDocument/2006/relationships/hyperlink" Target="https://login.consultant.ru/link/?req=doc&amp;base=LAW&amp;n=481921&amp;dst=100053" TargetMode="External"/><Relationship Id="rId68" Type="http://schemas.openxmlformats.org/officeDocument/2006/relationships/hyperlink" Target="https://login.consultant.ru/link/?req=doc&amp;base=LAW&amp;n=422888&amp;dst=100028" TargetMode="External"/><Relationship Id="rId133" Type="http://schemas.openxmlformats.org/officeDocument/2006/relationships/hyperlink" Target="https://login.consultant.ru/link/?req=doc&amp;base=LAW&amp;n=369328&amp;dst=100051" TargetMode="External"/><Relationship Id="rId175" Type="http://schemas.openxmlformats.org/officeDocument/2006/relationships/image" Target="media/image71.wmf"/><Relationship Id="rId340" Type="http://schemas.openxmlformats.org/officeDocument/2006/relationships/hyperlink" Target="https://login.consultant.ru/link/?req=doc&amp;base=LAW&amp;n=172763&amp;dst=100062" TargetMode="External"/><Relationship Id="rId200" Type="http://schemas.openxmlformats.org/officeDocument/2006/relationships/image" Target="media/image94.wmf"/><Relationship Id="rId382" Type="http://schemas.openxmlformats.org/officeDocument/2006/relationships/image" Target="media/image236.wmf"/><Relationship Id="rId438" Type="http://schemas.openxmlformats.org/officeDocument/2006/relationships/hyperlink" Target="https://login.consultant.ru/link/?req=doc&amp;base=LAW&amp;n=369328&amp;dst=100058" TargetMode="External"/><Relationship Id="rId242" Type="http://schemas.openxmlformats.org/officeDocument/2006/relationships/image" Target="media/image131.wmf"/><Relationship Id="rId284" Type="http://schemas.openxmlformats.org/officeDocument/2006/relationships/hyperlink" Target="https://login.consultant.ru/link/?req=doc&amp;base=LAW&amp;n=470834&amp;dst=42" TargetMode="External"/><Relationship Id="rId491" Type="http://schemas.openxmlformats.org/officeDocument/2006/relationships/hyperlink" Target="https://login.consultant.ru/link/?req=doc&amp;base=LAW&amp;n=369328&amp;dst=100107" TargetMode="External"/><Relationship Id="rId505" Type="http://schemas.openxmlformats.org/officeDocument/2006/relationships/image" Target="media/image311.wmf"/><Relationship Id="rId37" Type="http://schemas.openxmlformats.org/officeDocument/2006/relationships/hyperlink" Target="https://login.consultant.ru/link/?req=doc&amp;base=LAW&amp;n=463198&amp;dst=100011" TargetMode="External"/><Relationship Id="rId79" Type="http://schemas.openxmlformats.org/officeDocument/2006/relationships/hyperlink" Target="https://login.consultant.ru/link/?req=doc&amp;base=LAW&amp;n=482899" TargetMode="External"/><Relationship Id="rId102" Type="http://schemas.openxmlformats.org/officeDocument/2006/relationships/image" Target="media/image18.wmf"/><Relationship Id="rId144" Type="http://schemas.openxmlformats.org/officeDocument/2006/relationships/image" Target="media/image44.wmf"/><Relationship Id="rId90" Type="http://schemas.openxmlformats.org/officeDocument/2006/relationships/image" Target="media/image8.wmf"/><Relationship Id="rId186" Type="http://schemas.openxmlformats.org/officeDocument/2006/relationships/image" Target="media/image82.wmf"/><Relationship Id="rId351" Type="http://schemas.openxmlformats.org/officeDocument/2006/relationships/hyperlink" Target="https://login.consultant.ru/link/?req=doc&amp;base=LAW&amp;n=470834&amp;dst=28" TargetMode="External"/><Relationship Id="rId393" Type="http://schemas.openxmlformats.org/officeDocument/2006/relationships/image" Target="media/image246.wmf"/><Relationship Id="rId407" Type="http://schemas.openxmlformats.org/officeDocument/2006/relationships/image" Target="media/image257.wmf"/><Relationship Id="rId449" Type="http://schemas.openxmlformats.org/officeDocument/2006/relationships/hyperlink" Target="https://login.consultant.ru/link/?req=doc&amp;base=LAW&amp;n=470834&amp;dst=100298" TargetMode="External"/><Relationship Id="rId211" Type="http://schemas.openxmlformats.org/officeDocument/2006/relationships/image" Target="media/image101.wmf"/><Relationship Id="rId253" Type="http://schemas.openxmlformats.org/officeDocument/2006/relationships/image" Target="media/image141.wmf"/><Relationship Id="rId295" Type="http://schemas.openxmlformats.org/officeDocument/2006/relationships/hyperlink" Target="https://login.consultant.ru/link/?req=doc&amp;base=LAW&amp;n=485185&amp;dst=100018" TargetMode="External"/><Relationship Id="rId309" Type="http://schemas.openxmlformats.org/officeDocument/2006/relationships/image" Target="media/image178.wmf"/><Relationship Id="rId460" Type="http://schemas.openxmlformats.org/officeDocument/2006/relationships/image" Target="media/image294.wmf"/><Relationship Id="rId48" Type="http://schemas.openxmlformats.org/officeDocument/2006/relationships/image" Target="media/image6.wmf"/><Relationship Id="rId113" Type="http://schemas.openxmlformats.org/officeDocument/2006/relationships/hyperlink" Target="https://login.consultant.ru/link/?req=doc&amp;base=LAW&amp;n=338501&amp;dst=100014" TargetMode="External"/><Relationship Id="rId320" Type="http://schemas.openxmlformats.org/officeDocument/2006/relationships/image" Target="media/image186.wmf"/><Relationship Id="rId155" Type="http://schemas.openxmlformats.org/officeDocument/2006/relationships/image" Target="media/image51.wmf"/><Relationship Id="rId197" Type="http://schemas.openxmlformats.org/officeDocument/2006/relationships/image" Target="media/image91.wmf"/><Relationship Id="rId362" Type="http://schemas.openxmlformats.org/officeDocument/2006/relationships/image" Target="media/image216.wmf"/><Relationship Id="rId418" Type="http://schemas.openxmlformats.org/officeDocument/2006/relationships/image" Target="media/image268.wmf"/><Relationship Id="rId222" Type="http://schemas.openxmlformats.org/officeDocument/2006/relationships/image" Target="media/image112.wmf"/><Relationship Id="rId264" Type="http://schemas.openxmlformats.org/officeDocument/2006/relationships/hyperlink" Target="https://login.consultant.ru/link/?req=doc&amp;base=LAW&amp;n=338501&amp;dst=100024" TargetMode="External"/><Relationship Id="rId471" Type="http://schemas.openxmlformats.org/officeDocument/2006/relationships/image" Target="media/image304.wmf"/><Relationship Id="rId17" Type="http://schemas.openxmlformats.org/officeDocument/2006/relationships/hyperlink" Target="https://login.consultant.ru/link/?req=doc&amp;base=LAW&amp;n=485185&amp;dst=100006" TargetMode="External"/><Relationship Id="rId59" Type="http://schemas.openxmlformats.org/officeDocument/2006/relationships/hyperlink" Target="https://login.consultant.ru/link/?req=doc&amp;base=LAW&amp;n=422888&amp;dst=100022" TargetMode="External"/><Relationship Id="rId124" Type="http://schemas.openxmlformats.org/officeDocument/2006/relationships/hyperlink" Target="https://login.consultant.ru/link/?req=doc&amp;base=LAW&amp;n=338501&amp;dst=100017" TargetMode="External"/><Relationship Id="rId70" Type="http://schemas.openxmlformats.org/officeDocument/2006/relationships/hyperlink" Target="https://login.consultant.ru/link/?req=doc&amp;base=LAW&amp;n=172763&amp;dst=100024" TargetMode="External"/><Relationship Id="rId166" Type="http://schemas.openxmlformats.org/officeDocument/2006/relationships/image" Target="media/image62.wmf"/><Relationship Id="rId331" Type="http://schemas.openxmlformats.org/officeDocument/2006/relationships/image" Target="media/image194.wmf"/><Relationship Id="rId373" Type="http://schemas.openxmlformats.org/officeDocument/2006/relationships/image" Target="media/image227.wmf"/><Relationship Id="rId429" Type="http://schemas.openxmlformats.org/officeDocument/2006/relationships/image" Target="media/image277.wmf"/><Relationship Id="rId1" Type="http://schemas.openxmlformats.org/officeDocument/2006/relationships/styles" Target="styles.xml"/><Relationship Id="rId233" Type="http://schemas.openxmlformats.org/officeDocument/2006/relationships/image" Target="media/image123.wmf"/><Relationship Id="rId440" Type="http://schemas.openxmlformats.org/officeDocument/2006/relationships/image" Target="media/image287.wmf"/><Relationship Id="rId28" Type="http://schemas.openxmlformats.org/officeDocument/2006/relationships/hyperlink" Target="https://login.consultant.ru/link/?req=doc&amp;base=LAW&amp;n=413946&amp;dst=100007" TargetMode="External"/><Relationship Id="rId275" Type="http://schemas.openxmlformats.org/officeDocument/2006/relationships/image" Target="media/image157.wmf"/><Relationship Id="rId300" Type="http://schemas.openxmlformats.org/officeDocument/2006/relationships/image" Target="media/image172.wmf"/><Relationship Id="rId482" Type="http://schemas.openxmlformats.org/officeDocument/2006/relationships/hyperlink" Target="https://login.consultant.ru/link/?req=doc&amp;base=LAW&amp;n=482877&amp;dst=150" TargetMode="External"/><Relationship Id="rId81" Type="http://schemas.openxmlformats.org/officeDocument/2006/relationships/hyperlink" Target="https://login.consultant.ru/link/?req=doc&amp;base=LAW&amp;n=172763&amp;dst=100025" TargetMode="External"/><Relationship Id="rId135" Type="http://schemas.openxmlformats.org/officeDocument/2006/relationships/image" Target="media/image39.wmf"/><Relationship Id="rId177" Type="http://schemas.openxmlformats.org/officeDocument/2006/relationships/image" Target="media/image73.wmf"/><Relationship Id="rId342" Type="http://schemas.openxmlformats.org/officeDocument/2006/relationships/hyperlink" Target="https://login.consultant.ru/link/?req=doc&amp;base=LAW&amp;n=470834&amp;dst=114" TargetMode="External"/><Relationship Id="rId384" Type="http://schemas.openxmlformats.org/officeDocument/2006/relationships/image" Target="media/image238.wmf"/><Relationship Id="rId202" Type="http://schemas.openxmlformats.org/officeDocument/2006/relationships/hyperlink" Target="https://login.consultant.ru/link/?req=doc&amp;base=LAW&amp;n=220972" TargetMode="External"/><Relationship Id="rId244" Type="http://schemas.openxmlformats.org/officeDocument/2006/relationships/image" Target="media/image133.wmf"/><Relationship Id="rId39" Type="http://schemas.openxmlformats.org/officeDocument/2006/relationships/hyperlink" Target="https://login.consultant.ru/link/?req=doc&amp;base=LAW&amp;n=470834&amp;dst=194" TargetMode="External"/><Relationship Id="rId286" Type="http://schemas.openxmlformats.org/officeDocument/2006/relationships/hyperlink" Target="https://login.consultant.ru/link/?req=doc&amp;base=LAW&amp;n=278503&amp;dst=100016" TargetMode="External"/><Relationship Id="rId451" Type="http://schemas.openxmlformats.org/officeDocument/2006/relationships/image" Target="media/image290.wmf"/><Relationship Id="rId493" Type="http://schemas.openxmlformats.org/officeDocument/2006/relationships/hyperlink" Target="https://login.consultant.ru/link/?req=doc&amp;base=LAW&amp;n=369328&amp;dst=100165" TargetMode="External"/><Relationship Id="rId507" Type="http://schemas.openxmlformats.org/officeDocument/2006/relationships/hyperlink" Target="https://login.consultant.ru/link/?req=doc&amp;base=LAW&amp;n=172763&amp;dst=100012" TargetMode="External"/><Relationship Id="rId50" Type="http://schemas.openxmlformats.org/officeDocument/2006/relationships/hyperlink" Target="https://login.consultant.ru/link/?req=doc&amp;base=LAW&amp;n=301407&amp;dst=100012" TargetMode="External"/><Relationship Id="rId104" Type="http://schemas.openxmlformats.org/officeDocument/2006/relationships/image" Target="media/image20.wmf"/><Relationship Id="rId146" Type="http://schemas.openxmlformats.org/officeDocument/2006/relationships/image" Target="media/image46.wmf"/><Relationship Id="rId188" Type="http://schemas.openxmlformats.org/officeDocument/2006/relationships/image" Target="media/image84.wmf"/><Relationship Id="rId311" Type="http://schemas.openxmlformats.org/officeDocument/2006/relationships/image" Target="media/image180.wmf"/><Relationship Id="rId353" Type="http://schemas.openxmlformats.org/officeDocument/2006/relationships/hyperlink" Target="https://login.consultant.ru/link/?req=doc&amp;base=LAW&amp;n=470834&amp;dst=27" TargetMode="External"/><Relationship Id="rId395" Type="http://schemas.openxmlformats.org/officeDocument/2006/relationships/image" Target="media/image247.wmf"/><Relationship Id="rId409" Type="http://schemas.openxmlformats.org/officeDocument/2006/relationships/image" Target="media/image259.wmf"/><Relationship Id="rId92" Type="http://schemas.openxmlformats.org/officeDocument/2006/relationships/image" Target="media/image10.wmf"/><Relationship Id="rId213" Type="http://schemas.openxmlformats.org/officeDocument/2006/relationships/image" Target="media/image103.wmf"/><Relationship Id="rId420" Type="http://schemas.openxmlformats.org/officeDocument/2006/relationships/image" Target="media/image270.wmf"/><Relationship Id="rId255" Type="http://schemas.openxmlformats.org/officeDocument/2006/relationships/image" Target="media/image142.wmf"/><Relationship Id="rId297" Type="http://schemas.openxmlformats.org/officeDocument/2006/relationships/image" Target="media/image169.wmf"/><Relationship Id="rId462" Type="http://schemas.openxmlformats.org/officeDocument/2006/relationships/image" Target="media/image296.wmf"/><Relationship Id="rId115" Type="http://schemas.openxmlformats.org/officeDocument/2006/relationships/image" Target="media/image28.wmf"/><Relationship Id="rId157" Type="http://schemas.openxmlformats.org/officeDocument/2006/relationships/image" Target="media/image53.wmf"/><Relationship Id="rId322" Type="http://schemas.openxmlformats.org/officeDocument/2006/relationships/image" Target="media/image188.wmf"/><Relationship Id="rId364" Type="http://schemas.openxmlformats.org/officeDocument/2006/relationships/image" Target="media/image218.wmf"/><Relationship Id="rId61" Type="http://schemas.openxmlformats.org/officeDocument/2006/relationships/hyperlink" Target="https://login.consultant.ru/link/?req=doc&amp;base=LAW&amp;n=172763&amp;dst=100020" TargetMode="External"/><Relationship Id="rId199" Type="http://schemas.openxmlformats.org/officeDocument/2006/relationships/image" Target="media/image93.wmf"/><Relationship Id="rId19" Type="http://schemas.openxmlformats.org/officeDocument/2006/relationships/hyperlink" Target="https://login.consultant.ru/link/?req=doc&amp;base=LAW&amp;n=470834&amp;dst=100015" TargetMode="External"/><Relationship Id="rId224" Type="http://schemas.openxmlformats.org/officeDocument/2006/relationships/image" Target="media/image114.wmf"/><Relationship Id="rId266" Type="http://schemas.openxmlformats.org/officeDocument/2006/relationships/hyperlink" Target="https://login.consultant.ru/link/?req=doc&amp;base=LAW&amp;n=172763&amp;dst=100043" TargetMode="External"/><Relationship Id="rId431" Type="http://schemas.openxmlformats.org/officeDocument/2006/relationships/image" Target="media/image279.wmf"/><Relationship Id="rId473" Type="http://schemas.openxmlformats.org/officeDocument/2006/relationships/hyperlink" Target="https://login.consultant.ru/link/?req=doc&amp;base=LAW&amp;n=172763&amp;dst=100077" TargetMode="External"/><Relationship Id="rId30" Type="http://schemas.openxmlformats.org/officeDocument/2006/relationships/hyperlink" Target="https://login.consultant.ru/link/?req=doc&amp;base=LAW&amp;n=421209&amp;dst=100020" TargetMode="External"/><Relationship Id="rId126" Type="http://schemas.openxmlformats.org/officeDocument/2006/relationships/hyperlink" Target="https://login.consultant.ru/link/?req=doc&amp;base=LAW&amp;n=338501&amp;dst=100021" TargetMode="External"/><Relationship Id="rId168" Type="http://schemas.openxmlformats.org/officeDocument/2006/relationships/image" Target="media/image64.wmf"/><Relationship Id="rId333" Type="http://schemas.openxmlformats.org/officeDocument/2006/relationships/image" Target="media/image195.wmf"/><Relationship Id="rId72" Type="http://schemas.openxmlformats.org/officeDocument/2006/relationships/hyperlink" Target="https://login.consultant.ru/link/?req=doc&amp;base=LAW&amp;n=422888&amp;dst=100034" TargetMode="External"/><Relationship Id="rId375" Type="http://schemas.openxmlformats.org/officeDocument/2006/relationships/image" Target="media/image229.wmf"/><Relationship Id="rId3" Type="http://schemas.openxmlformats.org/officeDocument/2006/relationships/webSettings" Target="webSettings.xml"/><Relationship Id="rId235" Type="http://schemas.openxmlformats.org/officeDocument/2006/relationships/hyperlink" Target="https://login.consultant.ru/link/?req=doc&amp;base=LAW&amp;n=172763&amp;dst=100034" TargetMode="External"/><Relationship Id="rId277" Type="http://schemas.openxmlformats.org/officeDocument/2006/relationships/image" Target="media/image159.wmf"/><Relationship Id="rId400" Type="http://schemas.openxmlformats.org/officeDocument/2006/relationships/image" Target="media/image250.wmf"/><Relationship Id="rId442" Type="http://schemas.openxmlformats.org/officeDocument/2006/relationships/hyperlink" Target="https://login.consultant.ru/link/?req=doc&amp;base=LAW&amp;n=482877&amp;dst=150" TargetMode="External"/><Relationship Id="rId484" Type="http://schemas.openxmlformats.org/officeDocument/2006/relationships/hyperlink" Target="https://login.consultant.ru/link/?req=doc&amp;base=LAW&amp;n=482877&amp;dst=100603" TargetMode="External"/><Relationship Id="rId137" Type="http://schemas.openxmlformats.org/officeDocument/2006/relationships/image" Target="media/image41.wmf"/><Relationship Id="rId302" Type="http://schemas.openxmlformats.org/officeDocument/2006/relationships/image" Target="media/image174.wmf"/><Relationship Id="rId344" Type="http://schemas.openxmlformats.org/officeDocument/2006/relationships/image" Target="media/image202.wmf"/><Relationship Id="rId41" Type="http://schemas.openxmlformats.org/officeDocument/2006/relationships/hyperlink" Target="https://login.consultant.ru/link/?req=doc&amp;base=LAW&amp;n=417128&amp;dst=100017" TargetMode="External"/><Relationship Id="rId83" Type="http://schemas.openxmlformats.org/officeDocument/2006/relationships/hyperlink" Target="https://login.consultant.ru/link/?req=doc&amp;base=LAW&amp;n=278503&amp;dst=100012" TargetMode="External"/><Relationship Id="rId179" Type="http://schemas.openxmlformats.org/officeDocument/2006/relationships/image" Target="media/image75.wmf"/><Relationship Id="rId386" Type="http://schemas.openxmlformats.org/officeDocument/2006/relationships/image" Target="media/image240.wmf"/><Relationship Id="rId190" Type="http://schemas.openxmlformats.org/officeDocument/2006/relationships/hyperlink" Target="https://login.consultant.ru/link/?req=doc&amp;base=LAW&amp;n=470834&amp;dst=100445" TargetMode="External"/><Relationship Id="rId204" Type="http://schemas.openxmlformats.org/officeDocument/2006/relationships/hyperlink" Target="https://login.consultant.ru/link/?req=doc&amp;base=LAW&amp;n=220972" TargetMode="External"/><Relationship Id="rId246" Type="http://schemas.openxmlformats.org/officeDocument/2006/relationships/image" Target="media/image135.wmf"/><Relationship Id="rId288" Type="http://schemas.openxmlformats.org/officeDocument/2006/relationships/image" Target="media/image164.wmf"/><Relationship Id="rId411" Type="http://schemas.openxmlformats.org/officeDocument/2006/relationships/image" Target="media/image261.wmf"/><Relationship Id="rId453" Type="http://schemas.openxmlformats.org/officeDocument/2006/relationships/hyperlink" Target="https://login.consultant.ru/link/?req=doc&amp;base=LAW&amp;n=369328&amp;dst=100083" TargetMode="External"/><Relationship Id="rId509" Type="http://schemas.openxmlformats.org/officeDocument/2006/relationships/fontTable" Target="fontTable.xml"/><Relationship Id="rId106" Type="http://schemas.openxmlformats.org/officeDocument/2006/relationships/image" Target="media/image22.wmf"/><Relationship Id="rId313" Type="http://schemas.openxmlformats.org/officeDocument/2006/relationships/hyperlink" Target="https://login.consultant.ru/link/?req=doc&amp;base=LAW&amp;n=485185&amp;dst=100020" TargetMode="External"/><Relationship Id="rId495" Type="http://schemas.openxmlformats.org/officeDocument/2006/relationships/hyperlink" Target="https://login.consultant.ru/link/?req=doc&amp;base=LAW&amp;n=481921&amp;dst=100056" TargetMode="External"/><Relationship Id="rId10" Type="http://schemas.openxmlformats.org/officeDocument/2006/relationships/hyperlink" Target="https://login.consultant.ru/link/?req=doc&amp;base=LAW&amp;n=338501&amp;dst=100006" TargetMode="External"/><Relationship Id="rId52" Type="http://schemas.openxmlformats.org/officeDocument/2006/relationships/hyperlink" Target="https://login.consultant.ru/link/?req=doc&amp;base=LAW&amp;n=172763&amp;dst=100018" TargetMode="External"/><Relationship Id="rId94" Type="http://schemas.openxmlformats.org/officeDocument/2006/relationships/image" Target="media/image12.wmf"/><Relationship Id="rId148" Type="http://schemas.openxmlformats.org/officeDocument/2006/relationships/image" Target="media/image48.wmf"/><Relationship Id="rId355" Type="http://schemas.openxmlformats.org/officeDocument/2006/relationships/image" Target="media/image209.wmf"/><Relationship Id="rId397" Type="http://schemas.openxmlformats.org/officeDocument/2006/relationships/hyperlink" Target="https://login.consultant.ru/link/?req=doc&amp;base=LAW&amp;n=338501&amp;dst=100090" TargetMode="External"/><Relationship Id="rId215" Type="http://schemas.openxmlformats.org/officeDocument/2006/relationships/image" Target="media/image105.wmf"/><Relationship Id="rId257" Type="http://schemas.openxmlformats.org/officeDocument/2006/relationships/image" Target="media/image144.wmf"/><Relationship Id="rId422" Type="http://schemas.openxmlformats.org/officeDocument/2006/relationships/image" Target="media/image272.wmf"/><Relationship Id="rId464" Type="http://schemas.openxmlformats.org/officeDocument/2006/relationships/image" Target="media/image29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36324</Words>
  <Characters>207053</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okk12</dc:creator>
  <cp:keywords/>
  <dc:description/>
  <cp:lastModifiedBy>okk12</cp:lastModifiedBy>
  <cp:revision>1</cp:revision>
  <dcterms:created xsi:type="dcterms:W3CDTF">2024-09-19T12:31:00Z</dcterms:created>
  <dcterms:modified xsi:type="dcterms:W3CDTF">2024-09-19T12:32:00Z</dcterms:modified>
</cp:coreProperties>
</file>