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112" w:rsidRDefault="005F7112" w:rsidP="005F7112">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5F7112" w:rsidRDefault="005F7112" w:rsidP="005F7112">
      <w:pPr>
        <w:autoSpaceDE w:val="0"/>
        <w:autoSpaceDN w:val="0"/>
        <w:adjustRightInd w:val="0"/>
        <w:spacing w:after="0" w:line="240" w:lineRule="auto"/>
        <w:rPr>
          <w:rFonts w:ascii="Tahoma" w:hAnsi="Tahoma" w:cs="Tahoma"/>
          <w:sz w:val="20"/>
          <w:szCs w:val="20"/>
        </w:rPr>
      </w:pPr>
    </w:p>
    <w:p w:rsidR="005F7112" w:rsidRDefault="005F7112" w:rsidP="005F7112">
      <w:pPr>
        <w:autoSpaceDE w:val="0"/>
        <w:autoSpaceDN w:val="0"/>
        <w:adjustRightInd w:val="0"/>
        <w:spacing w:after="0" w:line="240" w:lineRule="auto"/>
        <w:jc w:val="both"/>
        <w:outlineLvl w:val="0"/>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ПРАВИТЕЛЬСТВО РОССИЙСКОЙ ФЕДЕРАЦИИ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ПОСТАНОВЛЕНИЕ</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от 30 мая 2016 г. N 484</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 ЦЕНООБРАЗОВАНИИ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 ОБЛАСТИ ОБРАЩЕНИЯ С ТВЕРДЫМИ КОММУНАЛЬНЫМИ ОТХОДАМИ</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Постановлений Правительства РФ от 28.10.2016 </w:t>
            </w:r>
            <w:hyperlink r:id="rId5" w:history="1">
              <w:r>
                <w:rPr>
                  <w:rFonts w:ascii="Times New Roman" w:hAnsi="Times New Roman" w:cs="Times New Roman"/>
                  <w:color w:val="0000FF"/>
                  <w:sz w:val="20"/>
                  <w:szCs w:val="20"/>
                </w:rPr>
                <w:t>N 1098</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26.12.2016 </w:t>
            </w:r>
            <w:hyperlink r:id="rId6" w:history="1">
              <w:r>
                <w:rPr>
                  <w:rFonts w:ascii="Times New Roman" w:hAnsi="Times New Roman" w:cs="Times New Roman"/>
                  <w:color w:val="0000FF"/>
                  <w:sz w:val="20"/>
                  <w:szCs w:val="20"/>
                </w:rPr>
                <w:t>N 1498</w:t>
              </w:r>
            </w:hyperlink>
            <w:r>
              <w:rPr>
                <w:rFonts w:ascii="Times New Roman" w:hAnsi="Times New Roman" w:cs="Times New Roman"/>
                <w:color w:val="392C69"/>
                <w:sz w:val="20"/>
                <w:szCs w:val="20"/>
              </w:rPr>
              <w:t xml:space="preserve">, от 05.05.2017 </w:t>
            </w:r>
            <w:hyperlink r:id="rId7" w:history="1">
              <w:r>
                <w:rPr>
                  <w:rFonts w:ascii="Times New Roman" w:hAnsi="Times New Roman" w:cs="Times New Roman"/>
                  <w:color w:val="0000FF"/>
                  <w:sz w:val="20"/>
                  <w:szCs w:val="20"/>
                </w:rPr>
                <w:t>N 534</w:t>
              </w:r>
            </w:hyperlink>
            <w:r>
              <w:rPr>
                <w:rFonts w:ascii="Times New Roman" w:hAnsi="Times New Roman" w:cs="Times New Roman"/>
                <w:color w:val="392C69"/>
                <w:sz w:val="20"/>
                <w:szCs w:val="20"/>
              </w:rPr>
              <w:t xml:space="preserve">, от 31.03.2018 </w:t>
            </w:r>
            <w:hyperlink r:id="rId8" w:history="1">
              <w:r>
                <w:rPr>
                  <w:rFonts w:ascii="Times New Roman" w:hAnsi="Times New Roman" w:cs="Times New Roman"/>
                  <w:color w:val="0000FF"/>
                  <w:sz w:val="20"/>
                  <w:szCs w:val="20"/>
                </w:rPr>
                <w:t>N 389</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29.06.2018 </w:t>
            </w:r>
            <w:hyperlink r:id="rId9" w:history="1">
              <w:r>
                <w:rPr>
                  <w:rFonts w:ascii="Times New Roman" w:hAnsi="Times New Roman" w:cs="Times New Roman"/>
                  <w:color w:val="0000FF"/>
                  <w:sz w:val="20"/>
                  <w:szCs w:val="20"/>
                </w:rPr>
                <w:t>N 758</w:t>
              </w:r>
            </w:hyperlink>
            <w:r>
              <w:rPr>
                <w:rFonts w:ascii="Times New Roman" w:hAnsi="Times New Roman" w:cs="Times New Roman"/>
                <w:color w:val="392C69"/>
                <w:sz w:val="20"/>
                <w:szCs w:val="20"/>
              </w:rPr>
              <w:t xml:space="preserve">, от 25.07.2018 </w:t>
            </w:r>
            <w:hyperlink r:id="rId10" w:history="1">
              <w:r>
                <w:rPr>
                  <w:rFonts w:ascii="Times New Roman" w:hAnsi="Times New Roman" w:cs="Times New Roman"/>
                  <w:color w:val="0000FF"/>
                  <w:sz w:val="20"/>
                  <w:szCs w:val="20"/>
                </w:rPr>
                <w:t>N 867</w:t>
              </w:r>
            </w:hyperlink>
            <w:r>
              <w:rPr>
                <w:rFonts w:ascii="Times New Roman" w:hAnsi="Times New Roman" w:cs="Times New Roman"/>
                <w:color w:val="392C69"/>
                <w:sz w:val="20"/>
                <w:szCs w:val="20"/>
              </w:rPr>
              <w:t xml:space="preserve">, от 15.09.2018 </w:t>
            </w:r>
            <w:hyperlink r:id="rId11" w:history="1">
              <w:r>
                <w:rPr>
                  <w:rFonts w:ascii="Times New Roman" w:hAnsi="Times New Roman" w:cs="Times New Roman"/>
                  <w:color w:val="0000FF"/>
                  <w:sz w:val="20"/>
                  <w:szCs w:val="20"/>
                </w:rPr>
                <w:t>N 1094</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19.10.2018 </w:t>
            </w:r>
            <w:hyperlink r:id="rId12" w:history="1">
              <w:r>
                <w:rPr>
                  <w:rFonts w:ascii="Times New Roman" w:hAnsi="Times New Roman" w:cs="Times New Roman"/>
                  <w:color w:val="0000FF"/>
                  <w:sz w:val="20"/>
                  <w:szCs w:val="20"/>
                </w:rPr>
                <w:t>N 1246</w:t>
              </w:r>
            </w:hyperlink>
            <w:r>
              <w:rPr>
                <w:rFonts w:ascii="Times New Roman" w:hAnsi="Times New Roman" w:cs="Times New Roman"/>
                <w:color w:val="392C69"/>
                <w:sz w:val="20"/>
                <w:szCs w:val="20"/>
              </w:rPr>
              <w:t xml:space="preserve">, от 15.12.2018 </w:t>
            </w:r>
            <w:hyperlink r:id="rId13" w:history="1">
              <w:r>
                <w:rPr>
                  <w:rFonts w:ascii="Times New Roman" w:hAnsi="Times New Roman" w:cs="Times New Roman"/>
                  <w:color w:val="0000FF"/>
                  <w:sz w:val="20"/>
                  <w:szCs w:val="20"/>
                </w:rPr>
                <w:t>N 1572</w:t>
              </w:r>
            </w:hyperlink>
            <w:r>
              <w:rPr>
                <w:rFonts w:ascii="Times New Roman" w:hAnsi="Times New Roman" w:cs="Times New Roman"/>
                <w:color w:val="392C69"/>
                <w:sz w:val="20"/>
                <w:szCs w:val="20"/>
              </w:rPr>
              <w:t xml:space="preserve">, от 13.04.2019 </w:t>
            </w:r>
            <w:hyperlink r:id="rId14" w:history="1">
              <w:r>
                <w:rPr>
                  <w:rFonts w:ascii="Times New Roman" w:hAnsi="Times New Roman" w:cs="Times New Roman"/>
                  <w:color w:val="0000FF"/>
                  <w:sz w:val="20"/>
                  <w:szCs w:val="20"/>
                </w:rPr>
                <w:t>N 446</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05.09.2019 </w:t>
            </w:r>
            <w:hyperlink r:id="rId15" w:history="1">
              <w:r>
                <w:rPr>
                  <w:rFonts w:ascii="Times New Roman" w:hAnsi="Times New Roman" w:cs="Times New Roman"/>
                  <w:color w:val="0000FF"/>
                  <w:sz w:val="20"/>
                  <w:szCs w:val="20"/>
                </w:rPr>
                <w:t>N 1164</w:t>
              </w:r>
            </w:hyperlink>
            <w:r>
              <w:rPr>
                <w:rFonts w:ascii="Times New Roman" w:hAnsi="Times New Roman" w:cs="Times New Roman"/>
                <w:color w:val="392C69"/>
                <w:sz w:val="20"/>
                <w:szCs w:val="20"/>
              </w:rPr>
              <w:t xml:space="preserve">, от 29.10.2019 </w:t>
            </w:r>
            <w:hyperlink r:id="rId16" w:history="1">
              <w:r>
                <w:rPr>
                  <w:rFonts w:ascii="Times New Roman" w:hAnsi="Times New Roman" w:cs="Times New Roman"/>
                  <w:color w:val="0000FF"/>
                  <w:sz w:val="20"/>
                  <w:szCs w:val="20"/>
                </w:rPr>
                <w:t>N 1386</w:t>
              </w:r>
            </w:hyperlink>
            <w:r>
              <w:rPr>
                <w:rFonts w:ascii="Times New Roman" w:hAnsi="Times New Roman" w:cs="Times New Roman"/>
                <w:color w:val="392C69"/>
                <w:sz w:val="20"/>
                <w:szCs w:val="20"/>
              </w:rPr>
              <w:t xml:space="preserve">, от 18.03.2021 </w:t>
            </w:r>
            <w:hyperlink r:id="rId17" w:history="1">
              <w:r>
                <w:rPr>
                  <w:rFonts w:ascii="Times New Roman" w:hAnsi="Times New Roman" w:cs="Times New Roman"/>
                  <w:color w:val="0000FF"/>
                  <w:sz w:val="20"/>
                  <w:szCs w:val="20"/>
                </w:rPr>
                <w:t>N 414</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02.12.2021 </w:t>
            </w:r>
            <w:hyperlink r:id="rId18" w:history="1">
              <w:r>
                <w:rPr>
                  <w:rFonts w:ascii="Times New Roman" w:hAnsi="Times New Roman" w:cs="Times New Roman"/>
                  <w:color w:val="0000FF"/>
                  <w:sz w:val="20"/>
                  <w:szCs w:val="20"/>
                </w:rPr>
                <w:t>N 2181</w:t>
              </w:r>
            </w:hyperlink>
            <w:r>
              <w:rPr>
                <w:rFonts w:ascii="Times New Roman" w:hAnsi="Times New Roman" w:cs="Times New Roman"/>
                <w:color w:val="392C69"/>
                <w:sz w:val="20"/>
                <w:szCs w:val="20"/>
              </w:rPr>
              <w:t xml:space="preserve">, от 06.12.2021 </w:t>
            </w:r>
            <w:hyperlink r:id="rId19" w:history="1">
              <w:r>
                <w:rPr>
                  <w:rFonts w:ascii="Times New Roman" w:hAnsi="Times New Roman" w:cs="Times New Roman"/>
                  <w:color w:val="0000FF"/>
                  <w:sz w:val="20"/>
                  <w:szCs w:val="20"/>
                </w:rPr>
                <w:t>N 2209</w:t>
              </w:r>
            </w:hyperlink>
            <w:r>
              <w:rPr>
                <w:rFonts w:ascii="Times New Roman" w:hAnsi="Times New Roman" w:cs="Times New Roman"/>
                <w:color w:val="392C69"/>
                <w:sz w:val="20"/>
                <w:szCs w:val="20"/>
              </w:rPr>
              <w:t xml:space="preserve">, от 24.10.2022 </w:t>
            </w:r>
            <w:hyperlink r:id="rId20" w:history="1">
              <w:r>
                <w:rPr>
                  <w:rFonts w:ascii="Times New Roman" w:hAnsi="Times New Roman" w:cs="Times New Roman"/>
                  <w:color w:val="0000FF"/>
                  <w:sz w:val="20"/>
                  <w:szCs w:val="20"/>
                </w:rPr>
                <w:t>N 1889</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02.10.2023 </w:t>
            </w:r>
            <w:hyperlink r:id="rId21" w:history="1">
              <w:r>
                <w:rPr>
                  <w:rFonts w:ascii="Times New Roman" w:hAnsi="Times New Roman" w:cs="Times New Roman"/>
                  <w:color w:val="0000FF"/>
                  <w:sz w:val="20"/>
                  <w:szCs w:val="20"/>
                </w:rPr>
                <w:t>N 1624</w:t>
              </w:r>
            </w:hyperlink>
            <w:r>
              <w:rPr>
                <w:rFonts w:ascii="Times New Roman" w:hAnsi="Times New Roman" w:cs="Times New Roman"/>
                <w:color w:val="392C69"/>
                <w:sz w:val="20"/>
                <w:szCs w:val="20"/>
              </w:rPr>
              <w:t xml:space="preserve">, от 27.01.2024 </w:t>
            </w:r>
            <w:hyperlink r:id="rId22" w:history="1">
              <w:r>
                <w:rPr>
                  <w:rFonts w:ascii="Times New Roman" w:hAnsi="Times New Roman" w:cs="Times New Roman"/>
                  <w:color w:val="0000FF"/>
                  <w:sz w:val="20"/>
                  <w:szCs w:val="20"/>
                </w:rPr>
                <w:t>N 70</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с изм., внесенными </w:t>
            </w:r>
            <w:hyperlink r:id="rId23" w:history="1">
              <w:r>
                <w:rPr>
                  <w:rFonts w:ascii="Times New Roman" w:hAnsi="Times New Roman" w:cs="Times New Roman"/>
                  <w:color w:val="0000FF"/>
                  <w:sz w:val="20"/>
                  <w:szCs w:val="20"/>
                </w:rPr>
                <w:t>Постановлением</w:t>
              </w:r>
            </w:hyperlink>
            <w:r>
              <w:rPr>
                <w:rFonts w:ascii="Times New Roman" w:hAnsi="Times New Roman" w:cs="Times New Roman"/>
                <w:color w:val="392C69"/>
                <w:sz w:val="20"/>
                <w:szCs w:val="20"/>
              </w:rPr>
              <w:t xml:space="preserve"> Правительства РФ от 13.12.2022 N 2295)</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p>
        </w:tc>
      </w:tr>
    </w:tbl>
    <w:p w:rsidR="005F7112" w:rsidRDefault="005F7112" w:rsidP="005F7112">
      <w:pPr>
        <w:autoSpaceDE w:val="0"/>
        <w:autoSpaceDN w:val="0"/>
        <w:adjustRightInd w:val="0"/>
        <w:spacing w:after="0" w:line="240" w:lineRule="auto"/>
        <w:jc w:val="center"/>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соответствии со статьями 5 и </w:t>
      </w:r>
      <w:hyperlink r:id="rId24" w:history="1">
        <w:r>
          <w:rPr>
            <w:rFonts w:ascii="Times New Roman" w:hAnsi="Times New Roman" w:cs="Times New Roman"/>
            <w:color w:val="0000FF"/>
            <w:sz w:val="20"/>
            <w:szCs w:val="20"/>
          </w:rPr>
          <w:t>24.9</w:t>
        </w:r>
      </w:hyperlink>
      <w:r>
        <w:rPr>
          <w:rFonts w:ascii="Times New Roman" w:hAnsi="Times New Roman" w:cs="Times New Roman"/>
          <w:sz w:val="20"/>
          <w:szCs w:val="20"/>
        </w:rPr>
        <w:t xml:space="preserve"> Федерального закона "Об отходах производства и потребления" Правительство Российской Федерации постановляет: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Утвердить прилагаемые: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hyperlink w:anchor="Par39" w:history="1">
        <w:r>
          <w:rPr>
            <w:rFonts w:ascii="Times New Roman" w:hAnsi="Times New Roman" w:cs="Times New Roman"/>
            <w:color w:val="0000FF"/>
            <w:sz w:val="20"/>
            <w:szCs w:val="20"/>
          </w:rPr>
          <w:t>Основы</w:t>
        </w:r>
      </w:hyperlink>
      <w:r>
        <w:rPr>
          <w:rFonts w:ascii="Times New Roman" w:hAnsi="Times New Roman" w:cs="Times New Roman"/>
          <w:sz w:val="20"/>
          <w:szCs w:val="20"/>
        </w:rPr>
        <w:t xml:space="preserve"> ценообразования в области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hyperlink w:anchor="Par502" w:history="1">
        <w:r>
          <w:rPr>
            <w:rFonts w:ascii="Times New Roman" w:hAnsi="Times New Roman" w:cs="Times New Roman"/>
            <w:color w:val="0000FF"/>
            <w:sz w:val="20"/>
            <w:szCs w:val="20"/>
          </w:rPr>
          <w:t>Правила</w:t>
        </w:r>
      </w:hyperlink>
      <w:r>
        <w:rPr>
          <w:rFonts w:ascii="Times New Roman" w:hAnsi="Times New Roman" w:cs="Times New Roman"/>
          <w:sz w:val="20"/>
          <w:szCs w:val="20"/>
        </w:rPr>
        <w:t xml:space="preserve"> регулирования тарифов в сфере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Федеральной антимонопольной службе в 4-месячный срок утвердить по согласованию с Министерством экономического развития Российской Федерации и Министерством строительства и жилищно-коммунального хозяйства Российской Федерации </w:t>
      </w:r>
      <w:hyperlink r:id="rId25" w:history="1">
        <w:r>
          <w:rPr>
            <w:rFonts w:ascii="Times New Roman" w:hAnsi="Times New Roman" w:cs="Times New Roman"/>
            <w:color w:val="0000FF"/>
            <w:sz w:val="20"/>
            <w:szCs w:val="20"/>
          </w:rPr>
          <w:t>методические указания</w:t>
        </w:r>
      </w:hyperlink>
      <w:r>
        <w:rPr>
          <w:rFonts w:ascii="Times New Roman" w:hAnsi="Times New Roman" w:cs="Times New Roman"/>
          <w:sz w:val="20"/>
          <w:szCs w:val="20"/>
        </w:rPr>
        <w:t xml:space="preserve"> по расчету регулируемых тарифов в области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Признать утратившими силу с 1 января 2018 г. акты Правительства Российской Федерации по перечню согласно </w:t>
      </w:r>
      <w:hyperlink w:anchor="Par623" w:history="1">
        <w:r>
          <w:rPr>
            <w:rFonts w:ascii="Times New Roman" w:hAnsi="Times New Roman" w:cs="Times New Roman"/>
            <w:color w:val="0000FF"/>
            <w:sz w:val="20"/>
            <w:szCs w:val="20"/>
          </w:rPr>
          <w:t>приложению</w:t>
        </w:r>
      </w:hyperlink>
      <w:r>
        <w:rPr>
          <w:rFonts w:ascii="Times New Roman" w:hAnsi="Times New Roman" w:cs="Times New Roman"/>
          <w:sz w:val="20"/>
          <w:szCs w:val="20"/>
        </w:rPr>
        <w:t>.</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26"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26.12.2016 N 1498)</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Председатель Правительства</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Российской Федерации</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Д.МЕДВЕДЕВ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Утверждены</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постановлением Правительства</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Российской Федерации</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30 мая 2016 г. N 484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bookmarkStart w:id="0" w:name="Par39"/>
      <w:bookmarkEnd w:id="0"/>
      <w:r>
        <w:rPr>
          <w:rFonts w:ascii="Times New Roman" w:hAnsi="Times New Roman" w:cs="Times New Roman"/>
          <w:b/>
          <w:bCs/>
          <w:sz w:val="20"/>
          <w:szCs w:val="20"/>
        </w:rPr>
        <w:t>ОСНОВЫ</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ЦЕНООБРАЗОВАНИЯ В ОБЛАСТИ ОБРАЩЕНИЯ С ТВЕРДЫМИ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КОММУНАЛЬНЫМИ ОТХОДАМИ</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Постановлений Правительства РФ от 28.10.2016 </w:t>
            </w:r>
            <w:hyperlink r:id="rId27" w:history="1">
              <w:r>
                <w:rPr>
                  <w:rFonts w:ascii="Times New Roman" w:hAnsi="Times New Roman" w:cs="Times New Roman"/>
                  <w:color w:val="0000FF"/>
                  <w:sz w:val="20"/>
                  <w:szCs w:val="20"/>
                </w:rPr>
                <w:t>N 1098</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05.05.2017 </w:t>
            </w:r>
            <w:hyperlink r:id="rId28" w:history="1">
              <w:r>
                <w:rPr>
                  <w:rFonts w:ascii="Times New Roman" w:hAnsi="Times New Roman" w:cs="Times New Roman"/>
                  <w:color w:val="0000FF"/>
                  <w:sz w:val="20"/>
                  <w:szCs w:val="20"/>
                </w:rPr>
                <w:t>N 534</w:t>
              </w:r>
            </w:hyperlink>
            <w:r>
              <w:rPr>
                <w:rFonts w:ascii="Times New Roman" w:hAnsi="Times New Roman" w:cs="Times New Roman"/>
                <w:color w:val="392C69"/>
                <w:sz w:val="20"/>
                <w:szCs w:val="20"/>
              </w:rPr>
              <w:t xml:space="preserve">, от 29.06.2018 </w:t>
            </w:r>
            <w:hyperlink r:id="rId29" w:history="1">
              <w:r>
                <w:rPr>
                  <w:rFonts w:ascii="Times New Roman" w:hAnsi="Times New Roman" w:cs="Times New Roman"/>
                  <w:color w:val="0000FF"/>
                  <w:sz w:val="20"/>
                  <w:szCs w:val="20"/>
                </w:rPr>
                <w:t>N 758</w:t>
              </w:r>
            </w:hyperlink>
            <w:r>
              <w:rPr>
                <w:rFonts w:ascii="Times New Roman" w:hAnsi="Times New Roman" w:cs="Times New Roman"/>
                <w:color w:val="392C69"/>
                <w:sz w:val="20"/>
                <w:szCs w:val="20"/>
              </w:rPr>
              <w:t xml:space="preserve">, от 25.07.2018 </w:t>
            </w:r>
            <w:hyperlink r:id="rId30" w:history="1">
              <w:r>
                <w:rPr>
                  <w:rFonts w:ascii="Times New Roman" w:hAnsi="Times New Roman" w:cs="Times New Roman"/>
                  <w:color w:val="0000FF"/>
                  <w:sz w:val="20"/>
                  <w:szCs w:val="20"/>
                </w:rPr>
                <w:t>N 867</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15.09.2018 </w:t>
            </w:r>
            <w:hyperlink r:id="rId31" w:history="1">
              <w:r>
                <w:rPr>
                  <w:rFonts w:ascii="Times New Roman" w:hAnsi="Times New Roman" w:cs="Times New Roman"/>
                  <w:color w:val="0000FF"/>
                  <w:sz w:val="20"/>
                  <w:szCs w:val="20"/>
                </w:rPr>
                <w:t>N 1094</w:t>
              </w:r>
            </w:hyperlink>
            <w:r>
              <w:rPr>
                <w:rFonts w:ascii="Times New Roman" w:hAnsi="Times New Roman" w:cs="Times New Roman"/>
                <w:color w:val="392C69"/>
                <w:sz w:val="20"/>
                <w:szCs w:val="20"/>
              </w:rPr>
              <w:t xml:space="preserve">, от 19.10.2018 </w:t>
            </w:r>
            <w:hyperlink r:id="rId32" w:history="1">
              <w:r>
                <w:rPr>
                  <w:rFonts w:ascii="Times New Roman" w:hAnsi="Times New Roman" w:cs="Times New Roman"/>
                  <w:color w:val="0000FF"/>
                  <w:sz w:val="20"/>
                  <w:szCs w:val="20"/>
                </w:rPr>
                <w:t>N 1246</w:t>
              </w:r>
            </w:hyperlink>
            <w:r>
              <w:rPr>
                <w:rFonts w:ascii="Times New Roman" w:hAnsi="Times New Roman" w:cs="Times New Roman"/>
                <w:color w:val="392C69"/>
                <w:sz w:val="20"/>
                <w:szCs w:val="20"/>
              </w:rPr>
              <w:t xml:space="preserve">, от 15.12.2018 </w:t>
            </w:r>
            <w:hyperlink r:id="rId33" w:history="1">
              <w:r>
                <w:rPr>
                  <w:rFonts w:ascii="Times New Roman" w:hAnsi="Times New Roman" w:cs="Times New Roman"/>
                  <w:color w:val="0000FF"/>
                  <w:sz w:val="20"/>
                  <w:szCs w:val="20"/>
                </w:rPr>
                <w:t>N 1572</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13.04.2019 </w:t>
            </w:r>
            <w:hyperlink r:id="rId34" w:history="1">
              <w:r>
                <w:rPr>
                  <w:rFonts w:ascii="Times New Roman" w:hAnsi="Times New Roman" w:cs="Times New Roman"/>
                  <w:color w:val="0000FF"/>
                  <w:sz w:val="20"/>
                  <w:szCs w:val="20"/>
                </w:rPr>
                <w:t>N 446</w:t>
              </w:r>
            </w:hyperlink>
            <w:r>
              <w:rPr>
                <w:rFonts w:ascii="Times New Roman" w:hAnsi="Times New Roman" w:cs="Times New Roman"/>
                <w:color w:val="392C69"/>
                <w:sz w:val="20"/>
                <w:szCs w:val="20"/>
              </w:rPr>
              <w:t xml:space="preserve">, от 05.09.2019 </w:t>
            </w:r>
            <w:hyperlink r:id="rId35" w:history="1">
              <w:r>
                <w:rPr>
                  <w:rFonts w:ascii="Times New Roman" w:hAnsi="Times New Roman" w:cs="Times New Roman"/>
                  <w:color w:val="0000FF"/>
                  <w:sz w:val="20"/>
                  <w:szCs w:val="20"/>
                </w:rPr>
                <w:t>N 1164</w:t>
              </w:r>
            </w:hyperlink>
            <w:r>
              <w:rPr>
                <w:rFonts w:ascii="Times New Roman" w:hAnsi="Times New Roman" w:cs="Times New Roman"/>
                <w:color w:val="392C69"/>
                <w:sz w:val="20"/>
                <w:szCs w:val="20"/>
              </w:rPr>
              <w:t xml:space="preserve">, от 29.10.2019 </w:t>
            </w:r>
            <w:hyperlink r:id="rId36" w:history="1">
              <w:r>
                <w:rPr>
                  <w:rFonts w:ascii="Times New Roman" w:hAnsi="Times New Roman" w:cs="Times New Roman"/>
                  <w:color w:val="0000FF"/>
                  <w:sz w:val="20"/>
                  <w:szCs w:val="20"/>
                </w:rPr>
                <w:t>N 1386</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18.03.2021 </w:t>
            </w:r>
            <w:hyperlink r:id="rId37" w:history="1">
              <w:r>
                <w:rPr>
                  <w:rFonts w:ascii="Times New Roman" w:hAnsi="Times New Roman" w:cs="Times New Roman"/>
                  <w:color w:val="0000FF"/>
                  <w:sz w:val="20"/>
                  <w:szCs w:val="20"/>
                </w:rPr>
                <w:t>N 414</w:t>
              </w:r>
            </w:hyperlink>
            <w:r>
              <w:rPr>
                <w:rFonts w:ascii="Times New Roman" w:hAnsi="Times New Roman" w:cs="Times New Roman"/>
                <w:color w:val="392C69"/>
                <w:sz w:val="20"/>
                <w:szCs w:val="20"/>
              </w:rPr>
              <w:t xml:space="preserve">, от 02.12.2021 </w:t>
            </w:r>
            <w:hyperlink r:id="rId38" w:history="1">
              <w:r>
                <w:rPr>
                  <w:rFonts w:ascii="Times New Roman" w:hAnsi="Times New Roman" w:cs="Times New Roman"/>
                  <w:color w:val="0000FF"/>
                  <w:sz w:val="20"/>
                  <w:szCs w:val="20"/>
                </w:rPr>
                <w:t>N 2181</w:t>
              </w:r>
            </w:hyperlink>
            <w:r>
              <w:rPr>
                <w:rFonts w:ascii="Times New Roman" w:hAnsi="Times New Roman" w:cs="Times New Roman"/>
                <w:color w:val="392C69"/>
                <w:sz w:val="20"/>
                <w:szCs w:val="20"/>
              </w:rPr>
              <w:t xml:space="preserve">, от 06.12.2021 </w:t>
            </w:r>
            <w:hyperlink r:id="rId39" w:history="1">
              <w:r>
                <w:rPr>
                  <w:rFonts w:ascii="Times New Roman" w:hAnsi="Times New Roman" w:cs="Times New Roman"/>
                  <w:color w:val="0000FF"/>
                  <w:sz w:val="20"/>
                  <w:szCs w:val="20"/>
                </w:rPr>
                <w:t>N 2209</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24.10.2022 </w:t>
            </w:r>
            <w:hyperlink r:id="rId40" w:history="1">
              <w:r>
                <w:rPr>
                  <w:rFonts w:ascii="Times New Roman" w:hAnsi="Times New Roman" w:cs="Times New Roman"/>
                  <w:color w:val="0000FF"/>
                  <w:sz w:val="20"/>
                  <w:szCs w:val="20"/>
                </w:rPr>
                <w:t>N 1889</w:t>
              </w:r>
            </w:hyperlink>
            <w:r>
              <w:rPr>
                <w:rFonts w:ascii="Times New Roman" w:hAnsi="Times New Roman" w:cs="Times New Roman"/>
                <w:color w:val="392C69"/>
                <w:sz w:val="20"/>
                <w:szCs w:val="20"/>
              </w:rPr>
              <w:t xml:space="preserve">, от 02.10.2023 </w:t>
            </w:r>
            <w:hyperlink r:id="rId41" w:history="1">
              <w:r>
                <w:rPr>
                  <w:rFonts w:ascii="Times New Roman" w:hAnsi="Times New Roman" w:cs="Times New Roman"/>
                  <w:color w:val="0000FF"/>
                  <w:sz w:val="20"/>
                  <w:szCs w:val="20"/>
                </w:rPr>
                <w:t>N 1624</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lastRenderedPageBreak/>
              <w:t xml:space="preserve">с изм., внесенными </w:t>
            </w:r>
            <w:hyperlink r:id="rId42" w:history="1">
              <w:r>
                <w:rPr>
                  <w:rFonts w:ascii="Times New Roman" w:hAnsi="Times New Roman" w:cs="Times New Roman"/>
                  <w:color w:val="0000FF"/>
                  <w:sz w:val="20"/>
                  <w:szCs w:val="20"/>
                </w:rPr>
                <w:t>Постановлением</w:t>
              </w:r>
            </w:hyperlink>
            <w:r>
              <w:rPr>
                <w:rFonts w:ascii="Times New Roman" w:hAnsi="Times New Roman" w:cs="Times New Roman"/>
                <w:color w:val="392C69"/>
                <w:sz w:val="20"/>
                <w:szCs w:val="20"/>
              </w:rPr>
              <w:t xml:space="preserve"> Правительства РФ от 13.12.2022 N 2295)</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p>
        </w:tc>
      </w:tr>
    </w:tbl>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 Общие положения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Настоящий документ определяет систему, принципы и методы регулирования тарифов на товары (работы, услуги) организаций, осуществляющих регулируемые виды деятельности в области обращения с твердыми коммунальными отходами, критерии их применения.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В настоящем документе используются следующие понятия: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"база инвестированного капитала" - величина инвестированного капитала, определяемая органом регулирования тарифов на соответствующий год долгосрочного периода регулирования, на основе которой определяется величина дохода инвестированного капитала при установлении тарифов с применением метода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"базовый уровень операционных расходов" - уровень операционных расходов, установленный на первый год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"долгосрочные государственные обязательства" - облигации федерального займа, срок погашения (срок обязательной оферты) которых составляет 8 - 10 лет;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"долгосрочные параметры регулирования тарифов" - параметры расчета тарифов, устанавливаемые органом регулирования тарифов на долгосрочный период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"долгосрочный период регулирования" - период длительностью не менее 5 годовых периодов регулирования (не менее 3 годовых периодов регулирования при первом применении долгосрочных тарифов), на который устанавливаются долгосрочные параметры регулирования тарифов, если иное не предусмотрено федеральным законом или </w:t>
      </w:r>
      <w:hyperlink w:anchor="Par50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 в сфере обращения с твердыми коммунальными отходами, утвержденными постановлением Правительства Российской Федерации от 30 мая 2016 г. N 484 "О ценообразовании в области обращения с твердыми коммунальными отходами" (далее - Правила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"долгосрочные тарифы" - тарифы в области обращения с твердыми коммунальными отходами, устанавливаемые на основе долгосрочных параметров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"заемный капитал" - денежные средства, сформированные за счет получения кредитов, займов, выпуска и продажи облигаций и израсходованные на строительство, модернизацию и реконструкцию объектов, используемых для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"инвестированный капитал" - стоимость объектов, используемых для обращения с твердыми коммунальными отходами, принимаемая органом регулирования тарифов для целей тарифного регулирования с использованием метода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"индекс эффективности операционных расходов" - показатель динамики изменения расходов, определяющий снижение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"недополученные доходы" - доходы регулируемой организации, не полученные в предыдущие периоды регулирования в связи со снижением объема и (или) массы твердых коммунальных отходов по сравнению с объемом и (или) массой твердых коммунальных отходов, учтенных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"неподконтрольные расходы" - расходы регулируемой организации, связанные с производством и реализацией товаров (работ, услуг) по регулируемым видам деятельности, на величину которых влияют факторы, которые не зависят от деятельности регулируемой организации и в отношении которых не устанавливаются требования к их снижению;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"необходимая валовая выручка" - экономически обоснованный объем финансовых средств, необходимый в течение очередного периода регулирования регулируемой организации для осуществления регулируемого вида деятельности 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 используемых для обработки, обезвреживания, захоронения и энергетической утилизации твердых коммунальных отходов (далее - показатели эффективности);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"норма доходности инвестированного капитала" - величина, отражающая экономически обоснованный уровень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"операционные расходы" - расходы регулируемой организации, связанные с осуществлением регулируемых видов деятельности, величина которых зависит от деятельности регулируемой организации и в отношении которых регулируемая организация должна принимать меры по их снижению, обеспечивая при этом выполнение производственной программы в полном объеме;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 регулирования тарифов" - исполнительный орган субъекта Российской Федерации, осуществляющий государственное регулирование тарифов, либо орган местного самоуправления, осуществляющий регулирование тарифов, - в случае передачи соответствующих полномочий законом субъекта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4"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24.10.2022 N 1889)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"первоначальный размер инвестированного капитала" - величина инвестированного капитала, установленная органами регулирования тарифов, принимаемая для расчета размера необходимой валовой выручки при переходе к регулированию тарифов с применением метода доходности инвестированного капитала или на первый год очередного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"период регулирования" - период, на который устанавливаются тарифы, продолжительностью не менее 12 месяцев, если иное не предусмотрено </w:t>
      </w:r>
      <w:hyperlink w:anchor="Par50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"полный размер инвестированного капитала" - величина инвестированного капитала, отражающая полную стоимость инвестированного капитала, принимаемая для расчета величины возврата инвестированного капитала при применении метода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"прогнозная необходимая валовая выручка регионального оператора по обращению с твердыми коммунальными отходами" - величина, определяемая в целях расчета приведенной стоимости услуги регионального оператора по обращению с твердыми коммунальными отходами как планируемый объем финансовых средств, необходимый региональному оператору по обращению с твердыми коммунальными отходами для оказания услуги по обращению с твердыми коммунальными отходами;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45"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15.09.2018 N 1094)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"расчетная предпринимательская прибыль регулируемой организации" - величина, учитываемая при определении необходимой валовой выручки, используемой при расчете тарифов с применением метода экономически обоснованных затрат на период регулирования или метода индексации на каждый год долгосрочного периода регулирования, остающаяся в распоряжении регулируемой организации и расходуемая ею по своему усмотрению;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"регулируемая организация" - оператор по обращению с твердыми коммунальными отходами, региональный оператор по обращению с твердыми коммунальными отходами, осуществляющие регулируемые виды деятельности в области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"экономически обоснованные расходы, не учтенные при установлении регулируемых тарифов в предыдущие периоды регулирования" - расходы, связанные с незапланированным ростом цен на продукцию, используемую регулируемой организацией в процессе осуществления производственной деятельности в течение предыдущего периода регулирования, изменением законодательства Российской Федерации, а также расходы, не учтенные органом регулирования тарифов в предыдущий период регулирования тарифов, но признанные экономически обоснованными Федеральной антимонопольной службой либо судом.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Термины "оператор по обращению с твердыми коммунальными отходами", "региональный оператор по обращению с твердыми коммунальными отходами", "твердые коммунальные отходы" применяются в значениях, предусмотренных Федеральным </w:t>
      </w:r>
      <w:hyperlink r:id="rId4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отходах производства и потребления".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Расчет размера необходимой валовой выручки, предельных тарифов на осуществление регулируемых видов деятельности в области обращения с твердыми коммунальными отходами, установленных органами регулирования тарифов (далее - тарифы), долгосрочных параметров регулирования тарифов, дифференциация тарифов осуществляются в соответствии с </w:t>
      </w:r>
      <w:hyperlink r:id="rId47"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по расчету регулируемых тарифов в области обращения с твердыми коммунальными отходами, утверждаемыми Федеральной антимонопольной службой (далее - методические указания).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II. Система регулируемых тарифов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Регулируемые виды деятельности в области обращения с твердыми коммунальными отходами осуществляются по ценам, определенным по соглашению сторон, но не превышающим утвержденных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5. Тарифы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регулируемого вида деятельности в области обращения с твердыми коммунальными отходами, за исключением случая, предусмотренного </w:t>
      </w:r>
      <w:hyperlink w:anchor="Par96" w:history="1">
        <w:r>
          <w:rPr>
            <w:rFonts w:ascii="Times New Roman" w:hAnsi="Times New Roman" w:cs="Times New Roman"/>
            <w:color w:val="0000FF"/>
            <w:sz w:val="20"/>
            <w:szCs w:val="20"/>
          </w:rPr>
          <w:t>пунктом 6(1)</w:t>
        </w:r>
      </w:hyperlink>
      <w:r>
        <w:rPr>
          <w:rFonts w:ascii="Times New Roman" w:hAnsi="Times New Roman" w:cs="Times New Roman"/>
          <w:sz w:val="20"/>
          <w:szCs w:val="20"/>
        </w:rPr>
        <w:t xml:space="preserve"> настоящего документа, с учетом территориальной схемы обращения с отходами, в том числе твердыми коммунальными отходами (далее - территориальная схема).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48"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25.07.2018 N 867)</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Регулированию подлежат следующие виды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единый тариф на услугу регионального оператора по обращению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тариф на обработку твердых коммунальных отходов;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тариф на обезвреживание твердых коммунальных отходов;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 тариф на захоронение твердых коммунальных отходов, в том числе на объектах размещения твердых коммунальных отходов, включенных в соответствии с </w:t>
      </w:r>
      <w:hyperlink r:id="rId49" w:history="1">
        <w:r>
          <w:rPr>
            <w:rFonts w:ascii="Times New Roman" w:hAnsi="Times New Roman" w:cs="Times New Roman"/>
            <w:color w:val="0000FF"/>
            <w:sz w:val="20"/>
            <w:szCs w:val="20"/>
          </w:rPr>
          <w:t>пунктом 8 статьи 29.1</w:t>
        </w:r>
      </w:hyperlink>
      <w:r>
        <w:rPr>
          <w:rFonts w:ascii="Times New Roman" w:hAnsi="Times New Roman" w:cs="Times New Roman"/>
          <w:sz w:val="20"/>
          <w:szCs w:val="20"/>
        </w:rPr>
        <w:t xml:space="preserve"> Федерального закона "Об отходах производства и потребления" в перечень объектов размещения твердых коммунальных отходов на территории субъекта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13.04.2019 N 446)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тариф на энергетическую утилизацию.</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"д" введен </w:t>
      </w:r>
      <w:hyperlink r:id="rId51"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 w:name="Par96"/>
      <w:bookmarkEnd w:id="1"/>
      <w:r>
        <w:rPr>
          <w:rFonts w:ascii="Times New Roman" w:hAnsi="Times New Roman" w:cs="Times New Roman"/>
          <w:sz w:val="20"/>
          <w:szCs w:val="20"/>
        </w:rPr>
        <w:t>6(1). В случае если регулируемая организация, осуществляющая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ей на праве собственности или на ином законном основании, тариф на обработку твердых коммунальных отходов для такой регулируемой организации не устанавливается. При этом расходы на обработку твердых коммунальных отходов учитываются при установлении тарифа на захоронение твердых коммунальных отходов. Регулируемая организация ведет раздельный учет доходов и расходов, массы и объема твердых коммунальных отходов, обращение с которыми осуществляет, по каждому такому виду деятельности.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6(1) введен </w:t>
      </w:r>
      <w:hyperlink r:id="rId52"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25.07.2018 N 867; в ред. </w:t>
      </w:r>
      <w:hyperlink r:id="rId5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 w:name="Par98"/>
      <w:bookmarkEnd w:id="2"/>
      <w:r>
        <w:rPr>
          <w:rFonts w:ascii="Times New Roman" w:hAnsi="Times New Roman" w:cs="Times New Roman"/>
          <w:sz w:val="20"/>
          <w:szCs w:val="20"/>
        </w:rPr>
        <w:t>7. Тарифы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4"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19.10.2018 N 1246)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этом размер тарифов должен компенсировать регулируемым организациям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 за исключением тарифа на энергетическую утилизацию для регулируемой организации, в отношении объектов которой в соответствии с </w:t>
      </w:r>
      <w:hyperlink r:id="rId55" w:history="1">
        <w:r>
          <w:rPr>
            <w:rFonts w:ascii="Times New Roman" w:hAnsi="Times New Roman" w:cs="Times New Roman"/>
            <w:color w:val="0000FF"/>
            <w:sz w:val="20"/>
            <w:szCs w:val="20"/>
          </w:rPr>
          <w:t>пунктом 263</w:t>
        </w:r>
      </w:hyperlink>
      <w:r>
        <w:rPr>
          <w:rFonts w:ascii="Times New Roman" w:hAnsi="Times New Roman" w:cs="Times New Roman"/>
          <w:sz w:val="20"/>
          <w:szCs w:val="20"/>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56"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Тарифы могут дифференцироваться по муниципальным образованиям, видам твердых коммунальных отходов, а также технологическим особенностям в соответствии с территориальной схемой.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принятия решения о дифференциации тарифов по муниципальным образованиям орган регулирования тарифов принимает решение об установлении тарифов отдельно по каждому муниципальному образованию, на территории которого осуществляет деятельность регулируемая организация.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III. Общие положения регулирования тарифов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Регулирование тарифов осуществляется органами регулирования тарифов в соответствии с принципами экономического регулирования в области обращения с отходами, предусмотренными Федеральным </w:t>
      </w:r>
      <w:hyperlink r:id="rId5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отходах производства и потребления", </w:t>
      </w:r>
      <w:hyperlink w:anchor="Par50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 и иными нормативными правовыми актами в области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В случае если регулируемая организация кроме регулируемых видов деятельности в области обращения с твердыми коммунальными отходами осуществляет нерегулируемые виды деятельности, расходы на осуществление нерегулируемых видов деятельности и полученная в ходе их осуществления прибыль (убытки) при установлении тарифов не учитываются, за исключением расходов на осуществление нерегулируемых видов деятельности, которые учитываются в составе единого тарифа на услугу регионального оператора по обращению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установлении тарифов не учитываются недополученные доходы, возникшие в связи с применением цен, определенных соглашением сторон и отличных от установленных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Повторный учет одних и тех же расходов, относимых на разные регулируемые виды деятельности в области обращения с твердыми коммунальными отходами, при установлении тарифов не допускается.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10(1). Не допускается включение в состав экономически обоснованных расходов регулируемых организаций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10(1) введен </w:t>
      </w:r>
      <w:hyperlink r:id="rId5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05.09.2019 N 1164)</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учете средств, предоставленных региональному оператору за счет межбюджетных трансфертов, при установлении тарифов на 2021 г. и последующие периоды см. </w:t>
            </w:r>
            <w:hyperlink r:id="rId5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23.09.2020 N 1534.</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p>
        </w:tc>
      </w:tr>
    </w:tbl>
    <w:p w:rsidR="005F7112" w:rsidRDefault="005F7112" w:rsidP="005F7112">
      <w:pPr>
        <w:autoSpaceDE w:val="0"/>
        <w:autoSpaceDN w:val="0"/>
        <w:adjustRightInd w:val="0"/>
        <w:spacing w:before="260" w:after="0" w:line="240" w:lineRule="auto"/>
        <w:ind w:firstLine="540"/>
        <w:jc w:val="both"/>
        <w:rPr>
          <w:rFonts w:ascii="Times New Roman" w:hAnsi="Times New Roman" w:cs="Times New Roman"/>
          <w:sz w:val="20"/>
          <w:szCs w:val="20"/>
        </w:rPr>
      </w:pPr>
      <w:bookmarkStart w:id="3" w:name="Par115"/>
      <w:bookmarkEnd w:id="3"/>
      <w:r>
        <w:rPr>
          <w:rFonts w:ascii="Times New Roman" w:hAnsi="Times New Roman" w:cs="Times New Roman"/>
          <w:sz w:val="20"/>
          <w:szCs w:val="20"/>
        </w:rPr>
        <w:t xml:space="preserve">11.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w:t>
      </w:r>
      <w:hyperlink r:id="rId60"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установлении в соответствии с настоящим пунктом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не учтенные органом регулирования тарифов при установлении тарифов для реорганизованного юридического лица (юридических лиц), а также расходы, связанные с обслуживанием заемных средств и собственных средств, направляемых на покрытие недостатка средств.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связанные с обслуживанием заемных средств, учитываются в размере, рассчитанном исходя из ставки процента, равной ключевой </w:t>
      </w:r>
      <w:hyperlink r:id="rId61" w:history="1">
        <w:r>
          <w:rPr>
            <w:rFonts w:ascii="Times New Roman" w:hAnsi="Times New Roman" w:cs="Times New Roman"/>
            <w:color w:val="0000FF"/>
            <w:sz w:val="20"/>
            <w:szCs w:val="20"/>
          </w:rPr>
          <w:t>ставке</w:t>
        </w:r>
      </w:hyperlink>
      <w:r>
        <w:rPr>
          <w:rFonts w:ascii="Times New Roman" w:hAnsi="Times New Roman" w:cs="Times New Roman"/>
          <w:sz w:val="20"/>
          <w:szCs w:val="20"/>
        </w:rPr>
        <w:t xml:space="preserve"> Центрального банка Российской Федерации, действующей на дату привлечения таких средств (заключения договора займа, кредитного договора), увеличенной на 4 процентных пункта.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 решению органа регулирования тарифов для регулируемых организаций, осуществляющих деятельность в населенных пунктах с численностью населения менее 100 тыс. человек, указанная ставка процента может быть определена с учетом региональных особенностей в размере ключевой ставки Центрального банка Российской Федерации, действующей на дату привлечения заемных средств, увеличенной более чем в 1,5 раза, но в размере не менее 4 процентных пунктов.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 w:name="Par119"/>
      <w:bookmarkEnd w:id="4"/>
      <w:r>
        <w:rPr>
          <w:rFonts w:ascii="Times New Roman" w:hAnsi="Times New Roman" w:cs="Times New Roman"/>
          <w:sz w:val="20"/>
          <w:szCs w:val="20"/>
        </w:rPr>
        <w:t>12. При установлении тарифов из необходимой валовой выручки исключаются: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 экономически не обоснованные доходы прошлых периодов регулирования, включая доходы, полученные с нарушением требований законодательства Российской Федерации при установлении и </w:t>
      </w:r>
      <w:r>
        <w:rPr>
          <w:rFonts w:ascii="Times New Roman" w:hAnsi="Times New Roman" w:cs="Times New Roman"/>
          <w:sz w:val="20"/>
          <w:szCs w:val="20"/>
        </w:rPr>
        <w:lastRenderedPageBreak/>
        <w:t>применении регулируемых тарифов, в том числе выявленные при осуществлении государственного контроля (надзора);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при осуществлении государственного контроля (надзора)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При установлении (корректировке) тарифов в сфере обращения с ТКО в 2022, 2023 гг. не применяется предложение 1 п. 13 в случае неисполнения инвестиционной программы регулируемой организации в 2022 году (</w:t>
            </w:r>
            <w:hyperlink r:id="rId62"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13.12.2022 N 2295).</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p>
        </w:tc>
      </w:tr>
    </w:tbl>
    <w:p w:rsidR="005F7112" w:rsidRDefault="005F7112" w:rsidP="005F7112">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13. В случае если объекты, используемые для обработки, обезвреживания, захоронения и энергетической утилизации твердых коммунальных отходов, ввод которых в эксплуатацию в соответствии с утвержденной инвестиционной программой регулируемой организации был предусмотрен в предыдущий период регулирования, не были введены в эксплуатацию и при этом регулируемая организация не осуществляет фактическое использование указанных объектов, при установлении тарифов на очередной период регулирования из необходимой валовой выручки исключаются расходы, связанные со строительством, реконструкцией и (или) модернизацией таких объектов в части, финансируемой за счет выручки от реализации товаров (работ, услуг) по тарифам в истекший период регулирования. При этом исключенные расходы подлежат включению в необходимую валовую выручку на период регулирования, следующий за периодом регулирования, в течение которого осуществлен ввод соответствующих объектов в эксплуатацию.</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6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 w:name="Par126"/>
      <w:bookmarkEnd w:id="5"/>
      <w:r>
        <w:rPr>
          <w:rFonts w:ascii="Times New Roman" w:hAnsi="Times New Roman" w:cs="Times New Roman"/>
          <w:sz w:val="20"/>
          <w:szCs w:val="20"/>
        </w:rPr>
        <w:t>14.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определенные с учетом следующих данных (в приоритетном порядке):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цены, установленные в договорах, заключенных в результате проведения торгов;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прогноз индекса потребительских цен (в среднем за год к предыдущему году);</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цен на природный газ и другие виды топлива;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цен на электрическую энергию;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цен на капитальное строительство;</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темпы роста заработной платы;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сведения о расходах на приобретаемые товары (работы, услуги), производимых другими регулируемыми организациями в сопоставимых условиях;</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данные бухгалтерского учета и статистической отчетности регулируемой организации за 3 предыдущих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 w:name="Par138"/>
      <w:bookmarkEnd w:id="6"/>
      <w:r>
        <w:rPr>
          <w:rFonts w:ascii="Times New Roman" w:hAnsi="Times New Roman" w:cs="Times New Roman"/>
          <w:sz w:val="20"/>
          <w:szCs w:val="20"/>
        </w:rPr>
        <w:lastRenderedPageBreak/>
        <w:t>15. При определении фактических значений расходов, учитываемых при установлении тарифов, орган регулирования тарифов использует данные бухгалтерской и статистической отчетности регулируемой организации за соответствующий период.</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IV. Определение необходимой валовой выручки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16. Необходимая валовая выручка определяется исходя из экономически обоснованных расходов регулируемых организаций, необходимых им для осуществления регулируемого вида деятельности в течение периода регулирования и обеспечения достижения показателей эффективности.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17. При определении необходимой валовой выручки учитываются расходы регулируемых организаций на реализацию предусмотренных инвестиционными и производственными программами регулируемых организаций мероприятий в размерах, обеспечивающих достижение плановых значений показателей эффективности.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V. Методы регулирования тарифов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18.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 Расчетный объем и (или) масса твердых коммунальных отходов определяются в соответствии с методическими указаниями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18(1). При определении тарифа на энергетическую утилизацию для регулируемой организации, в отношении объектов которой в соответствии с </w:t>
      </w:r>
      <w:hyperlink r:id="rId64" w:history="1">
        <w:r>
          <w:rPr>
            <w:rFonts w:ascii="Times New Roman" w:hAnsi="Times New Roman" w:cs="Times New Roman"/>
            <w:color w:val="0000FF"/>
            <w:sz w:val="20"/>
            <w:szCs w:val="20"/>
          </w:rPr>
          <w:t>пунктом 263</w:t>
        </w:r>
      </w:hyperlink>
      <w:r>
        <w:rPr>
          <w:rFonts w:ascii="Times New Roman" w:hAnsi="Times New Roman" w:cs="Times New Roman"/>
          <w:sz w:val="20"/>
          <w:szCs w:val="20"/>
        </w:rP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тариф на энергетическую утилизацию устанавливается на уровне значения полученного путем индексации базового уровня тарифа на энергетическую утилизацию в размере 1396 рублей за тонну, определенного в ценах базового 2019 года, по формуле:</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noProof/>
          <w:position w:val="-23"/>
          <w:sz w:val="20"/>
          <w:szCs w:val="20"/>
          <w:lang w:eastAsia="ru-RU"/>
        </w:rPr>
        <w:drawing>
          <wp:inline distT="0" distB="0" distL="0" distR="0">
            <wp:extent cx="1514475" cy="428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где: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noProof/>
          <w:position w:val="-8"/>
          <w:sz w:val="20"/>
          <w:szCs w:val="20"/>
          <w:lang w:eastAsia="ru-RU"/>
        </w:rPr>
        <w:drawing>
          <wp:inline distT="0" distB="0" distL="0" distR="0">
            <wp:extent cx="26670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Pr>
          <w:rFonts w:ascii="Times New Roman" w:hAnsi="Times New Roman" w:cs="Times New Roman"/>
          <w:sz w:val="20"/>
          <w:szCs w:val="20"/>
        </w:rPr>
        <w:t xml:space="preserve"> - тариф на энергетическую утилизацию для регулируемой организации, в отношении объектов которой в соответствии с </w:t>
      </w:r>
      <w:hyperlink r:id="rId67" w:history="1">
        <w:r>
          <w:rPr>
            <w:rFonts w:ascii="Times New Roman" w:hAnsi="Times New Roman" w:cs="Times New Roman"/>
            <w:color w:val="0000FF"/>
            <w:sz w:val="20"/>
            <w:szCs w:val="20"/>
          </w:rPr>
          <w:t>пунктом 263</w:t>
        </w:r>
      </w:hyperlink>
      <w:r>
        <w:rPr>
          <w:rFonts w:ascii="Times New Roman" w:hAnsi="Times New Roman" w:cs="Times New Roman"/>
          <w:sz w:val="20"/>
          <w:szCs w:val="20"/>
        </w:rP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ИПЦ</w:t>
      </w:r>
      <w:r>
        <w:rPr>
          <w:rFonts w:ascii="Times New Roman" w:hAnsi="Times New Roman" w:cs="Times New Roman"/>
          <w:sz w:val="20"/>
          <w:szCs w:val="20"/>
          <w:vertAlign w:val="subscript"/>
        </w:rPr>
        <w:t>j</w:t>
      </w:r>
      <w:r>
        <w:rPr>
          <w:rFonts w:ascii="Times New Roman" w:hAnsi="Times New Roman" w:cs="Times New Roman"/>
          <w:sz w:val="20"/>
          <w:szCs w:val="20"/>
        </w:rPr>
        <w:t xml:space="preserve"> - фактическое значение индекса потребительских цен в j-м году, определенное и опубликованное федеральным органом исполнительной власти, осуществляющим функции по формированию официальной статистической информации, на его официальном сайте в информационно-телекоммуникационной сети "Интернет".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тарифов на энергетическую утилизацию для регулируемых организаций, в отношении объектов которых не заключены договоры о предоставлении мощности квалифицированных генерирующих объектов, происходит с применением методов регулирования, указанных в </w:t>
      </w:r>
      <w:hyperlink w:anchor="Par159" w:history="1">
        <w:r>
          <w:rPr>
            <w:rFonts w:ascii="Times New Roman" w:hAnsi="Times New Roman" w:cs="Times New Roman"/>
            <w:color w:val="0000FF"/>
            <w:sz w:val="20"/>
            <w:szCs w:val="20"/>
          </w:rPr>
          <w:t>подпунктах "а"</w:t>
        </w:r>
      </w:hyperlink>
      <w:r>
        <w:rPr>
          <w:rFonts w:ascii="Times New Roman" w:hAnsi="Times New Roman" w:cs="Times New Roman"/>
          <w:sz w:val="20"/>
          <w:szCs w:val="20"/>
        </w:rPr>
        <w:t xml:space="preserve"> - </w:t>
      </w:r>
      <w:hyperlink w:anchor="Par161" w:history="1">
        <w:r>
          <w:rPr>
            <w:rFonts w:ascii="Times New Roman" w:hAnsi="Times New Roman" w:cs="Times New Roman"/>
            <w:color w:val="0000FF"/>
            <w:sz w:val="20"/>
            <w:szCs w:val="20"/>
          </w:rPr>
          <w:t>"в" пункта 19</w:t>
        </w:r>
      </w:hyperlink>
      <w:r>
        <w:rPr>
          <w:rFonts w:ascii="Times New Roman" w:hAnsi="Times New Roman" w:cs="Times New Roman"/>
          <w:sz w:val="20"/>
          <w:szCs w:val="20"/>
        </w:rPr>
        <w:t xml:space="preserve"> настоящего документа. При этом размер необходимой валовой выручки уменьшается на величину доходов от реализации электрической энергии (мощности) и величину доходов от экологического сбора.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18(1) введен </w:t>
      </w:r>
      <w:hyperlink r:id="rId6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19. При установлении тарифов, за исключением тарифов на энергетическую утилизацию, определяемых для регулируемых организаций, в отношении объектов которых в соответствии с </w:t>
      </w:r>
      <w:hyperlink r:id="rId69" w:history="1">
        <w:r>
          <w:rPr>
            <w:rFonts w:ascii="Times New Roman" w:hAnsi="Times New Roman" w:cs="Times New Roman"/>
            <w:color w:val="0000FF"/>
            <w:sz w:val="20"/>
            <w:szCs w:val="20"/>
          </w:rPr>
          <w:t>пунктом 263</w:t>
        </w:r>
      </w:hyperlink>
      <w:r>
        <w:rPr>
          <w:rFonts w:ascii="Times New Roman" w:hAnsi="Times New Roman" w:cs="Times New Roman"/>
          <w:sz w:val="20"/>
          <w:szCs w:val="20"/>
        </w:rPr>
        <w:t xml:space="preserve"> Правил оптового рынка электрической энергии и мощности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применяются следующие методы: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7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7" w:name="Par159"/>
      <w:bookmarkEnd w:id="7"/>
      <w:r>
        <w:rPr>
          <w:rFonts w:ascii="Times New Roman" w:hAnsi="Times New Roman" w:cs="Times New Roman"/>
          <w:sz w:val="20"/>
          <w:szCs w:val="20"/>
        </w:rPr>
        <w:t>а) метод экономически обоснованных расходов (затрат);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б) метод индексации;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8" w:name="Par161"/>
      <w:bookmarkEnd w:id="8"/>
      <w:r>
        <w:rPr>
          <w:rFonts w:ascii="Times New Roman" w:hAnsi="Times New Roman" w:cs="Times New Roman"/>
          <w:sz w:val="20"/>
          <w:szCs w:val="20"/>
        </w:rPr>
        <w:t>в) метод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20. Выбор метода регулирования тарифов осуществляется органом регулирования тарифов в соответствии с положениями </w:t>
      </w:r>
      <w:hyperlink w:anchor="Par189" w:history="1">
        <w:r>
          <w:rPr>
            <w:rFonts w:ascii="Times New Roman" w:hAnsi="Times New Roman" w:cs="Times New Roman"/>
            <w:color w:val="0000FF"/>
            <w:sz w:val="20"/>
            <w:szCs w:val="20"/>
          </w:rPr>
          <w:t>пунктов 28</w:t>
        </w:r>
      </w:hyperlink>
      <w:r>
        <w:rPr>
          <w:rFonts w:ascii="Times New Roman" w:hAnsi="Times New Roman" w:cs="Times New Roman"/>
          <w:sz w:val="20"/>
          <w:szCs w:val="20"/>
        </w:rPr>
        <w:t xml:space="preserve"> и </w:t>
      </w:r>
      <w:hyperlink w:anchor="Par352" w:history="1">
        <w:r>
          <w:rPr>
            <w:rFonts w:ascii="Times New Roman" w:hAnsi="Times New Roman" w:cs="Times New Roman"/>
            <w:color w:val="0000FF"/>
            <w:sz w:val="20"/>
            <w:szCs w:val="20"/>
          </w:rPr>
          <w:t>61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9" w:name="Par163"/>
      <w:bookmarkEnd w:id="9"/>
      <w:r>
        <w:rPr>
          <w:rFonts w:ascii="Times New Roman" w:hAnsi="Times New Roman" w:cs="Times New Roman"/>
          <w:sz w:val="20"/>
          <w:szCs w:val="20"/>
        </w:rPr>
        <w:t>21. Долгосрочные тарифы устанавливаются с применением метода индексации или метода доходности инвестированного капитала на основе долгосрочных параметров регулирования тарифов. Указанные параметры не подлежат пересмотру в течение долгосрочного периода регулирования, за исключением случаев их пересмотра по следующим основаниям: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вступившее в законную силу решение суда о необходимости пересмотра долгосрочных параметров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приобретение регулируемой организацией объектов, используемых для обработки, обезвреживания, захоронения и энергетической утилизации твердых коммунальных отходов, и (или) получение прав владения и (или) пользования такими объектами на основании концессионного соглашения, соглашения о государственно-частном партнерстве, муниципально-частном партнерстве или договора аренды;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7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присвоение организации, осуществляющей деятельность в области обращения с твердыми коммунальными отходами, статуса регионального оператора по обращению с твердыми коммунальными отходами (далее - региональный оператор);</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изменение в течение периода регулирования системы налогообложения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 исполнение предписания федерального органа исполнительной власти в области государственного регулирования тарифов, предусмотренного </w:t>
      </w:r>
      <w:hyperlink r:id="rId72" w:history="1">
        <w:r>
          <w:rPr>
            <w:rFonts w:ascii="Times New Roman" w:hAnsi="Times New Roman" w:cs="Times New Roman"/>
            <w:color w:val="0000FF"/>
            <w:sz w:val="20"/>
            <w:szCs w:val="20"/>
          </w:rPr>
          <w:t>пунктом 59</w:t>
        </w:r>
      </w:hyperlink>
      <w:r>
        <w:rPr>
          <w:rFonts w:ascii="Times New Roman" w:hAnsi="Times New Roman" w:cs="Times New Roman"/>
          <w:sz w:val="20"/>
          <w:szCs w:val="20"/>
        </w:rP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"д" введен </w:t>
      </w:r>
      <w:hyperlink r:id="rId73"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28.10.2016 N 1098)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исполнение предписаний федерального органа исполнительной власти, уполномоченного в области государственного регулирования тарифов, в рамках реализации полномочий по государственному контролю (надзору) в области регулируемых государством тарифов.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"е" введен </w:t>
      </w:r>
      <w:hyperlink r:id="rId7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13.04.2019 N 446)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22. Абзац утратил силу. - </w:t>
      </w:r>
      <w:hyperlink r:id="rId75"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РФ от 13.04.2019 N 446.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Тарифы регионального оператора подлежат пересмотру при пересмотре тарифов операторов по обращению с твердыми коммунальными отходами, расходы которых учитываются в составе необходимой валовой выручки регионального оператора.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23. При возникновении у регулируемых организаций недополученных доходов, связанных с изменением в случаях, предусмотренных </w:t>
      </w:r>
      <w:hyperlink w:anchor="Par163" w:history="1">
        <w:r>
          <w:rPr>
            <w:rFonts w:ascii="Times New Roman" w:hAnsi="Times New Roman" w:cs="Times New Roman"/>
            <w:color w:val="0000FF"/>
            <w:sz w:val="20"/>
            <w:szCs w:val="20"/>
          </w:rPr>
          <w:t>пунктами 21</w:t>
        </w:r>
      </w:hyperlink>
      <w:r>
        <w:rPr>
          <w:rFonts w:ascii="Times New Roman" w:hAnsi="Times New Roman" w:cs="Times New Roman"/>
          <w:sz w:val="20"/>
          <w:szCs w:val="20"/>
        </w:rPr>
        <w:t xml:space="preserve"> и </w:t>
      </w:r>
      <w:hyperlink w:anchor="Par183" w:history="1">
        <w:r>
          <w:rPr>
            <w:rFonts w:ascii="Times New Roman" w:hAnsi="Times New Roman" w:cs="Times New Roman"/>
            <w:color w:val="0000FF"/>
            <w:sz w:val="20"/>
            <w:szCs w:val="20"/>
          </w:rPr>
          <w:t>26</w:t>
        </w:r>
      </w:hyperlink>
      <w:r>
        <w:rPr>
          <w:rFonts w:ascii="Times New Roman" w:hAnsi="Times New Roman" w:cs="Times New Roman"/>
          <w:sz w:val="20"/>
          <w:szCs w:val="20"/>
        </w:rPr>
        <w:t xml:space="preserve"> настоящего документа, долгосрочных тарифов и (или) необходимой валовой выручки регулируемых организаций, которая определена в соответствии с настоящим документом на основе долгосрочных параметров регулирования тарифов, и (или) долгосрочных параметров регулирования тарифов, установленных органом регулирования тарифов (в том числе на основании решений Правительства Российской Федерации), установлением тарифов на основе долгосрочных параметров регулирования тарифов, отличных от долгосрочных параметров регулирования тарифов, установленных органом регулирования тарифов либо согласованных этим органом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возмещение таких доходов за счет средств бюджета субъекта Российской Федерации или местного бюджета в соответствии со </w:t>
      </w:r>
      <w:hyperlink r:id="rId76" w:history="1">
        <w:r>
          <w:rPr>
            <w:rFonts w:ascii="Times New Roman" w:hAnsi="Times New Roman" w:cs="Times New Roman"/>
            <w:color w:val="0000FF"/>
            <w:sz w:val="20"/>
            <w:szCs w:val="20"/>
          </w:rPr>
          <w:t>статьей 24.9</w:t>
        </w:r>
      </w:hyperlink>
      <w:r>
        <w:rPr>
          <w:rFonts w:ascii="Times New Roman" w:hAnsi="Times New Roman" w:cs="Times New Roman"/>
          <w:sz w:val="20"/>
          <w:szCs w:val="20"/>
        </w:rPr>
        <w:t xml:space="preserve"> Федерального закона "Об отходах производства и потребления" не осуществляется.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24. Для регулируемой организации, владеющей объектами, используемыми для обработки, обезвреживания, захоронения и энергетической утилизации твердых коммунальных отходов, находящимися в государственной или муниципальной собственности, на основании нескольких концессионных соглашений, соглашений о государственно-частном партнерстве, муниципально-частном партнерстве и (или) договоров аренды долгосрочные тарифы устанавливаются исходя из долгосрочных параметров регулирования тарифов, установленных на срок не менее чем 5 лет (при установлении впервые </w:t>
      </w:r>
      <w:r>
        <w:rPr>
          <w:rFonts w:ascii="Times New Roman" w:hAnsi="Times New Roman" w:cs="Times New Roman"/>
          <w:sz w:val="20"/>
          <w:szCs w:val="20"/>
        </w:rPr>
        <w:lastRenderedPageBreak/>
        <w:t xml:space="preserve">указанных тарифов на срок не менее чем 3 года), если иное не установлено </w:t>
      </w:r>
      <w:hyperlink w:anchor="Par50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 но не более максимального из сроков до окончания действия таких соглашений или договоров аренды.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77"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0" w:name="Par178"/>
      <w:bookmarkEnd w:id="10"/>
      <w:r>
        <w:rPr>
          <w:rFonts w:ascii="Times New Roman" w:hAnsi="Times New Roman" w:cs="Times New Roman"/>
          <w:sz w:val="20"/>
          <w:szCs w:val="20"/>
        </w:rPr>
        <w:t>24(1). В случае если регулируемая организация осуществляет деятельность в области обращения с твердыми коммунальными отходами с использованием объекта обращения с твердыми коммунальными отходами, в состав которого входят в том числе объект захоронения твердых коммунальных отходов и объект утилизации твердых коммунальных отходов, на котором осуществляется производство грунта, пригодного для технических целей (далее - технический грунт), путем компостирования, при этом производимый на таком объекте технический грунт используется для промежуточной изоляции слоев твердых коммунальных отходов на этом объекте, расходы, связанные с производством технического грунта, учитываются при установлении тарифов на захоронение твердых коммунальных отходов в экономически обоснованном размере, равном стоимости производства технического грунта, определяемой с учетом расходов, учитываемых при формировании необходимой валовой выручки в соответствии с методом экономически обоснованных расходов (затрат).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Указанный размер расходов в расчете на 1 тонну твердых коммунальных отходов, направляемых на производство технического грунта, не должен превышать расчетный размер затрат, определяемый как сумма расходов на захоронение 1 тонны твердых коммунальных отходов, учитываемых при формировании тарифов на захоронение твердых коммунальных отходов, и расчетной величины экономии средств на приобретение технического грунта для изоляции слоев твердых коммунальных отходов, возникающей при использовании технического грунта, полученного путем компостирования 1 тонны твердых коммунальных отходов.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отношении производства технического грунта, используемого для промежуточной изоляции слоев твердых коммунальных отходов на указанном в </w:t>
      </w:r>
      <w:hyperlink w:anchor="Par178" w:history="1">
        <w:r>
          <w:rPr>
            <w:rFonts w:ascii="Times New Roman" w:hAnsi="Times New Roman" w:cs="Times New Roman"/>
            <w:color w:val="0000FF"/>
            <w:sz w:val="20"/>
            <w:szCs w:val="20"/>
          </w:rPr>
          <w:t>абзаце первом</w:t>
        </w:r>
      </w:hyperlink>
      <w:r>
        <w:rPr>
          <w:rFonts w:ascii="Times New Roman" w:hAnsi="Times New Roman" w:cs="Times New Roman"/>
          <w:sz w:val="20"/>
          <w:szCs w:val="20"/>
        </w:rPr>
        <w:t xml:space="preserve"> настоящего пункта объекте, должен осуществляться раздельный учет расходов и доходов.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24(1) введен </w:t>
      </w:r>
      <w:hyperlink r:id="rId7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24.10.2022 N 1889)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25. В отношении организации - правопреемника регулируемой организации, которая в полном объеме приобрела ее права и обязанности, до утверждения в установленном порядке тарифов применяются тарифы, установленные для указанной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1" w:name="Par183"/>
      <w:bookmarkEnd w:id="11"/>
      <w:r>
        <w:rPr>
          <w:rFonts w:ascii="Times New Roman" w:hAnsi="Times New Roman" w:cs="Times New Roman"/>
          <w:sz w:val="20"/>
          <w:szCs w:val="20"/>
        </w:rPr>
        <w:t xml:space="preserve">26. При принятии решения об установлении долгосрочных тарифов органы регулирования тарифов в целях сглаживания их роста, обусловленного установлением тарифов с календарной разбивкой по полугодиям в соответствии с </w:t>
      </w:r>
      <w:hyperlink w:anchor="Par98"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настоящего документа, могут перераспределять необходимую валовую выручку регулируемой организации по годам первого и (или) последующих долгосрочных периодов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каждом году долгосрочного периода регулирования (нескольких долгосрочных периодов регулирования) необходимая валовая выручка, рассчитанная с учетом ее перераспределения, осуществляемого в целях сглаживания роста тарифов, может отличаться от необходимой валовой выручки, рассчитанной без учета такого перераспределения, не более чем на 12 процентов.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27. Тарифы рассчитываются в соответствии с методическими указаниями с учетом степени достижения плановых значений показателей эффективности.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VI. Метод экономически обоснованных расходов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bookmarkStart w:id="12" w:name="Par189"/>
      <w:bookmarkEnd w:id="12"/>
      <w:r>
        <w:rPr>
          <w:rFonts w:ascii="Times New Roman" w:hAnsi="Times New Roman" w:cs="Times New Roman"/>
          <w:sz w:val="20"/>
          <w:szCs w:val="20"/>
        </w:rPr>
        <w:t>28. Метод экономически обоснованных расходов (затрат) может применяться в случае, если в отношении регулируемой организации (в отношении отдельных регулируемых видов деятельности) в течение предыдущего года не осуществлялось государственное регулирование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29.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очередной период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3" w:name="Par191"/>
      <w:bookmarkEnd w:id="13"/>
      <w:r>
        <w:rPr>
          <w:rFonts w:ascii="Times New Roman" w:hAnsi="Times New Roman" w:cs="Times New Roman"/>
          <w:sz w:val="20"/>
          <w:szCs w:val="20"/>
        </w:rPr>
        <w:t>а) производственных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ремонтных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административных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сбытовых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расходов на амортизацию основных средств и нематериальных активов;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е) расходов на арендную плату, лизинговые платежи, концессионную плату с учетом особенностей, предусмотренных настоящим документом;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расходов, связанных с оплатой налогов, сборов и других обязательных платежей;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4" w:name="Par198"/>
      <w:bookmarkEnd w:id="14"/>
      <w:r>
        <w:rPr>
          <w:rFonts w:ascii="Times New Roman" w:hAnsi="Times New Roman" w:cs="Times New Roman"/>
          <w:sz w:val="20"/>
          <w:szCs w:val="20"/>
        </w:rPr>
        <w:t>з) расходов на оплату товаров, работ и услуг других операторов по обращению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 нормативной прибыли;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 расчетной предпринимательской прибыли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л) расходов на плату за негативное воздействие на окружающую среду при размещении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"л" в ред. </w:t>
      </w:r>
      <w:hyperlink r:id="rId79"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29.06.2018 N 758)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5" w:name="Par203"/>
      <w:bookmarkEnd w:id="15"/>
      <w:r>
        <w:rPr>
          <w:rFonts w:ascii="Times New Roman" w:hAnsi="Times New Roman" w:cs="Times New Roman"/>
          <w:sz w:val="20"/>
          <w:szCs w:val="20"/>
        </w:rPr>
        <w:t>30. В составе производственных расходов учитываются: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расходы на приобретение сырья и материалов и их хранение;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расходы на приобретаемые топливо, электрическую энергию (мощность), тепловую энергию (мощность), другие виды энергетических ресурсов (далее - энергетические ресурсы);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расходы на оплату выполняемых сторонними организациями или индивидуальными предпринимателями работ и (или) услуг, связанных с эксплуатацией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расходы на оплату труда и отчисления на социальные нужды основного производственного персонала;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расходы на уплату процентов по займам и кредитам, не учитываемые при определении налоговой базы по налогу на прибыль;</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общехозяйственные расходы;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прочие производственные расходы, определяемые в соответствии с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31. В составе ремонтных расходов учитываются: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расходы на текущий ремонт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расходы на капитальный ремонт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расходы на оплату труда и отчисления на социальные нужды ремонтного персонала.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32. К административным расходам относятся: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расходы на оплату товаров, работ и (или) услуг, поставляемых и (или) выполняемых по договорам сторонними организациями или индивидуальными предпринимателями, включая расходы на оплату услуг связи, вневедомственной охраны, юридических, информационных, аудиторских, консультационных услуг и другие расходы в экономически обоснованном размере, определенном в соответствии с методическими указаниями, за исключением расходов, отнесенных к производственным расходам;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расходы на оплату труда и отчисления на социальные нужды административно-управленческого персонала;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арендная плата, лизинговые платежи, не связанные с арендой (лизингом)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4"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расходы на служебные командировки;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д) расходы на обучение персонала;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расходы на обязательное страхование производственных объектов в случаях, предусмотренных законодательством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прочие административные расходы, определяемые в соответствии с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6" w:name="Par228"/>
      <w:bookmarkEnd w:id="16"/>
      <w:r>
        <w:rPr>
          <w:rFonts w:ascii="Times New Roman" w:hAnsi="Times New Roman" w:cs="Times New Roman"/>
          <w:sz w:val="20"/>
          <w:szCs w:val="20"/>
        </w:rPr>
        <w:t>33.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5 процентов на 2022 - 2024 годы, не более 3 процентов на 2025 - 2026 годы и не более 2 процентов начиная с 2027 года необходимой валовой выручки, установленной для регионального оператора на предыдущий период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8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установлении тарифов для регулируемых организаций, не имеющих статуса регионального оператора, в необходимой валовой выручке таких организаций учитывается вся сумма фактически списанной безнадежной дебиторской задолженности при условии ее документального подтверждения, а также величина экономически обоснованных расходов на создание регулируемой организацией в соответствии с положениями бухгалтерского и налогового учета резерва по сомнительным долгам при условии его документального подтверждения.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7" w:name="Par231"/>
      <w:bookmarkEnd w:id="17"/>
      <w:r>
        <w:rPr>
          <w:rFonts w:ascii="Times New Roman" w:hAnsi="Times New Roman" w:cs="Times New Roman"/>
          <w:sz w:val="20"/>
          <w:szCs w:val="20"/>
        </w:rPr>
        <w:t>34. Расходы на амортизацию основных средств и нематериальных активов определяются в соответствии с 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тарифов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86"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тарифов в соответствии с максимальными сроками полезного использования, установленными </w:t>
      </w:r>
      <w:hyperlink r:id="rId87" w:history="1">
        <w:r>
          <w:rPr>
            <w:rFonts w:ascii="Times New Roman" w:hAnsi="Times New Roman" w:cs="Times New Roman"/>
            <w:color w:val="0000FF"/>
            <w:sz w:val="20"/>
            <w:szCs w:val="20"/>
          </w:rPr>
          <w:t>Классификацией</w:t>
        </w:r>
      </w:hyperlink>
      <w:r>
        <w:rPr>
          <w:rFonts w:ascii="Times New Roman" w:hAnsi="Times New Roman" w:cs="Times New Roman"/>
          <w:sz w:val="20"/>
          <w:szCs w:val="20"/>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8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Амортизация по объектам основных средств, построенным за счет средств бюджетов бюджетной системы Российской Федерации,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8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8" w:name="Par238"/>
      <w:bookmarkEnd w:id="18"/>
      <w:r>
        <w:rPr>
          <w:rFonts w:ascii="Times New Roman" w:hAnsi="Times New Roman" w:cs="Times New Roman"/>
          <w:sz w:val="20"/>
          <w:szCs w:val="20"/>
        </w:rPr>
        <w:t>35. Расходы на арендную плату в отношении объектов, используемых для обработки, обезвреживания, захоронения и энергетической утилизации твердых коммунальных отходов,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9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Экономически обоснованный размер арендной платы за имущество, являющееся основными средствами производственного назначения, определяется исходя из принципа возмещения арендодателю расходов на амортизацию (размер которой определяется в соответствии с </w:t>
      </w:r>
      <w:hyperlink w:anchor="Par231" w:history="1">
        <w:r>
          <w:rPr>
            <w:rFonts w:ascii="Times New Roman" w:hAnsi="Times New Roman" w:cs="Times New Roman"/>
            <w:color w:val="0000FF"/>
            <w:sz w:val="20"/>
            <w:szCs w:val="20"/>
          </w:rPr>
          <w:t>пунктом 34</w:t>
        </w:r>
      </w:hyperlink>
      <w:r>
        <w:rPr>
          <w:rFonts w:ascii="Times New Roman" w:hAnsi="Times New Roman" w:cs="Times New Roman"/>
          <w:sz w:val="20"/>
          <w:szCs w:val="20"/>
        </w:rPr>
        <w:t xml:space="preserve"> настоящего документа), налогов на имущество, в том числе на землю, и других обязательных платежей собственника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Экономически обоснованный размер арендной платы за имущество, не являющееся основными средствами производственного назначения, и арендной платы за землю определяется исходя из </w:t>
      </w:r>
      <w:r>
        <w:rPr>
          <w:rFonts w:ascii="Times New Roman" w:hAnsi="Times New Roman" w:cs="Times New Roman"/>
          <w:sz w:val="20"/>
          <w:szCs w:val="20"/>
        </w:rPr>
        <w:lastRenderedPageBreak/>
        <w:t xml:space="preserve">экономически обоснованного объема арендуемого имущества (земли) и цены, определенной в соответствии с </w:t>
      </w:r>
      <w:hyperlink w:anchor="Par126" w:history="1">
        <w:r>
          <w:rPr>
            <w:rFonts w:ascii="Times New Roman" w:hAnsi="Times New Roman" w:cs="Times New Roman"/>
            <w:color w:val="0000FF"/>
            <w:sz w:val="20"/>
            <w:szCs w:val="20"/>
          </w:rPr>
          <w:t>пунктом 14</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передачи в аренду регулируемой организации объектов, используемых для обработки, обезвреживания, захоронения и энергетической утилизации твердых коммунальных отходов, находящихся в государственной или муниципальной собственности, амортизация по которым не начисляется, экономически обоснованный размер арендной платы рассчитывается без учета амортизационных отчислений.</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9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19" w:name="Par244"/>
      <w:bookmarkEnd w:id="19"/>
      <w:r>
        <w:rPr>
          <w:rFonts w:ascii="Times New Roman" w:hAnsi="Times New Roman" w:cs="Times New Roman"/>
          <w:sz w:val="20"/>
          <w:szCs w:val="20"/>
        </w:rPr>
        <w:t xml:space="preserve">Экономически обоснованный размер лизингового платежа определяется исходя из принципа возмещения лизингодателю расходов на амортизацию, размер которой определяется в соответствии с </w:t>
      </w:r>
      <w:hyperlink w:anchor="Par231" w:history="1">
        <w:r>
          <w:rPr>
            <w:rFonts w:ascii="Times New Roman" w:hAnsi="Times New Roman" w:cs="Times New Roman"/>
            <w:color w:val="0000FF"/>
            <w:sz w:val="20"/>
            <w:szCs w:val="20"/>
          </w:rPr>
          <w:t>пунктом 34</w:t>
        </w:r>
      </w:hyperlink>
      <w:r>
        <w:rPr>
          <w:rFonts w:ascii="Times New Roman" w:hAnsi="Times New Roman" w:cs="Times New Roman"/>
          <w:sz w:val="20"/>
          <w:szCs w:val="20"/>
        </w:rPr>
        <w:t xml:space="preserve">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Концессионная плата, учитываемая при установлении тарифов, не может превышать величину, рассчитанную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35 в ред. </w:t>
      </w:r>
      <w:hyperlink r:id="rId9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36. 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w:t>
      </w:r>
      <w:hyperlink r:id="rId93"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37. Расходы регулируемой организации на оплату услуг, оказываемых другими операторами по обращению с твердыми коммунальными отходами, определяются исходя из тарифов, установленных на товары (работы, услуги) таких операторов органами регулирования тарифов, или цен, определенных по соглашению с такими операторами.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0" w:name="Par249"/>
      <w:bookmarkEnd w:id="20"/>
      <w:r>
        <w:rPr>
          <w:rFonts w:ascii="Times New Roman" w:hAnsi="Times New Roman" w:cs="Times New Roman"/>
          <w:sz w:val="20"/>
          <w:szCs w:val="20"/>
        </w:rPr>
        <w:t>Расходы регулируемой организации на оплату услуг, оказываемых юридическими лицами и индивидуальными предпринимателями, осуществляющими строительство, реконструкцию объектов обработки, обезвреживания, энергетической утилизации, захоронения твердых коммунальных отходов, в отношении которых учтены в территориальной схеме расчетный объем и (или) масса твердых коммунальных отходов и утверждены в установленном порядке инвестиционные программы, определяются с учетом сведений о предельных тарифах в области обращения с твердыми коммунальными отходами в сопоставимых условиях, а также с учетом инвестиционных программ, утвержденных в установленном порядке. При этом такими инвестиционными программами должно быть предусмотрено, что ввод в эксплуатацию указанных объектов осуществляется в очередном годовом периоде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9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Расчетный объем и (или) масса твердых коммунальных отходов, указанные в </w:t>
      </w:r>
      <w:hyperlink w:anchor="Par249" w:history="1">
        <w:r>
          <w:rPr>
            <w:rFonts w:ascii="Times New Roman" w:hAnsi="Times New Roman" w:cs="Times New Roman"/>
            <w:color w:val="0000FF"/>
            <w:sz w:val="20"/>
            <w:szCs w:val="20"/>
          </w:rPr>
          <w:t>абзаце втором</w:t>
        </w:r>
      </w:hyperlink>
      <w:r>
        <w:rPr>
          <w:rFonts w:ascii="Times New Roman" w:hAnsi="Times New Roman" w:cs="Times New Roman"/>
          <w:sz w:val="20"/>
          <w:szCs w:val="20"/>
        </w:rPr>
        <w:t xml:space="preserve"> настоящего пункта, определяются исходя из данных территориальной схемы.</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95"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Соответствующие расходы регулируемой организации на оплату услуг, оказываемых юридическими лицами и индивидуальными предпринимателями, указанными в </w:t>
      </w:r>
      <w:hyperlink w:anchor="Par249" w:history="1">
        <w:r>
          <w:rPr>
            <w:rFonts w:ascii="Times New Roman" w:hAnsi="Times New Roman" w:cs="Times New Roman"/>
            <w:color w:val="0000FF"/>
            <w:sz w:val="20"/>
            <w:szCs w:val="20"/>
          </w:rPr>
          <w:t>абзаце втором</w:t>
        </w:r>
      </w:hyperlink>
      <w:r>
        <w:rPr>
          <w:rFonts w:ascii="Times New Roman" w:hAnsi="Times New Roman" w:cs="Times New Roman"/>
          <w:sz w:val="20"/>
          <w:szCs w:val="20"/>
        </w:rPr>
        <w:t xml:space="preserve"> настоящего пункта, в полном объеме подлежат исключению органом регулирования на очередной годовой период регулирования, следующий за годом, в котором объект должен был быть введен в эксплуатацию, в случае если тарифы для таких операторов не будут установлены органами регулирования тарифов до 1 декабря года, в котором объект должен был быть введен в эксплуатацию.</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96"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1" w:name="Par255"/>
      <w:bookmarkEnd w:id="21"/>
      <w:r>
        <w:rPr>
          <w:rFonts w:ascii="Times New Roman" w:hAnsi="Times New Roman" w:cs="Times New Roman"/>
          <w:sz w:val="20"/>
          <w:szCs w:val="20"/>
        </w:rPr>
        <w:t>38. Нормативная прибыль включает в себя: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расходы на капитальные вложения (инвестиции), определяемые в экономически обоснованном размере с учетом утвержденных инвестиционных программ регулируемых организаций;</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"а" в ред. </w:t>
      </w:r>
      <w:hyperlink r:id="rId97"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2" w:name="Par258"/>
      <w:bookmarkEnd w:id="22"/>
      <w:r>
        <w:rPr>
          <w:rFonts w:ascii="Times New Roman" w:hAnsi="Times New Roman" w:cs="Times New Roman"/>
          <w:sz w:val="20"/>
          <w:szCs w:val="20"/>
        </w:rPr>
        <w:t xml:space="preserve">б) средства на возврат займов и кредитов, привлекаемых на реализацию мероприятий инвестиционной программы регулируемой организации, в размере, определяемом исходя из срока их возврата, предусмотренного договорами займа и кредитными договорами, а также проценты по таким </w:t>
      </w:r>
      <w:r>
        <w:rPr>
          <w:rFonts w:ascii="Times New Roman" w:hAnsi="Times New Roman" w:cs="Times New Roman"/>
          <w:sz w:val="20"/>
          <w:szCs w:val="20"/>
        </w:rPr>
        <w:lastRenderedPageBreak/>
        <w:t xml:space="preserve">займам и кредитам, размер которых определен с учетом положений, предусмотренных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98" w:history="1">
        <w:r>
          <w:rPr>
            <w:rFonts w:ascii="Times New Roman" w:hAnsi="Times New Roman" w:cs="Times New Roman"/>
            <w:color w:val="0000FF"/>
            <w:sz w:val="20"/>
            <w:szCs w:val="20"/>
          </w:rPr>
          <w:t>кодексом</w:t>
        </w:r>
      </w:hyperlink>
      <w:r>
        <w:rPr>
          <w:rFonts w:ascii="Times New Roman" w:hAnsi="Times New Roman" w:cs="Times New Roman"/>
          <w:sz w:val="20"/>
          <w:szCs w:val="20"/>
        </w:rPr>
        <w:t xml:space="preserve">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3" w:name="Par260"/>
      <w:bookmarkEnd w:id="23"/>
      <w:r>
        <w:rPr>
          <w:rFonts w:ascii="Times New Roman" w:hAnsi="Times New Roman" w:cs="Times New Roman"/>
          <w:sz w:val="20"/>
          <w:szCs w:val="20"/>
        </w:rPr>
        <w:t xml:space="preserve">38(1). Для юридического лица или индивидуального предпринимателя, впервые представивших предложение об установлении тарифов, в случае, если такими юридическим лицом или индивидуальным предпринимателем реализованы мероприятия утвержденной в установленном порядке инвестиционной программы в части соответствующего регулируемого вида деятельности в области обращения с твердыми коммунальными отходами, расчет нормативной прибыли осуществляется исходя из необходимости компенсации расходов на капитальные вложения (инвестиции), определенных в соответствии с такой инвестиционной программой, и расходов на возврат займов и кредитов, привлеченных на реализацию указанных мероприятий инвестиционной программы, а также процентов по таким займам и кредитам, размер которых определен с учетом положений, предусмотренных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этом расходы на капитальные вложения (инвестиции) учитываются в размере фактически произведенных расходов на реализацию мероприятий инвестиционной программы. В случае превышения размера фактически произведенных расходов на реализацию мероприятий инвестиционной программы над размером плановых расходов расходы на капитальные вложения (инвестиции) учитываются в размере плановых расходов, определенном в утвержденной в установленном порядке инвестиционной программе.</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38(1) введен </w:t>
      </w:r>
      <w:hyperlink r:id="rId9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25.07.2018 N 867)</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4" w:name="Par263"/>
      <w:bookmarkEnd w:id="24"/>
      <w:r>
        <w:rPr>
          <w:rFonts w:ascii="Times New Roman" w:hAnsi="Times New Roman" w:cs="Times New Roman"/>
          <w:sz w:val="20"/>
          <w:szCs w:val="20"/>
        </w:rPr>
        <w:t xml:space="preserve">39. Расчетная предпринимательская прибыль регулируемой организации определяется в размере 5 процентов, включаемых в необходимую валовую выручку на очередной период регулирования расходов, указанных в </w:t>
      </w:r>
      <w:hyperlink w:anchor="Par191" w:history="1">
        <w:r>
          <w:rPr>
            <w:rFonts w:ascii="Times New Roman" w:hAnsi="Times New Roman" w:cs="Times New Roman"/>
            <w:color w:val="0000FF"/>
            <w:sz w:val="20"/>
            <w:szCs w:val="20"/>
          </w:rPr>
          <w:t>подпунктах "а"</w:t>
        </w:r>
      </w:hyperlink>
      <w:r>
        <w:rPr>
          <w:rFonts w:ascii="Times New Roman" w:hAnsi="Times New Roman" w:cs="Times New Roman"/>
          <w:sz w:val="20"/>
          <w:szCs w:val="20"/>
        </w:rPr>
        <w:t xml:space="preserve"> - </w:t>
      </w:r>
      <w:hyperlink w:anchor="Par198" w:history="1">
        <w:r>
          <w:rPr>
            <w:rFonts w:ascii="Times New Roman" w:hAnsi="Times New Roman" w:cs="Times New Roman"/>
            <w:color w:val="0000FF"/>
            <w:sz w:val="20"/>
            <w:szCs w:val="20"/>
          </w:rPr>
          <w:t>"з" пункта 29</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установлении (корректировке) тарифов в области обращения с твердыми коммунальными отходами на 2018 год и последующие периоды регулирования расчетная предпринимательская прибыль регулируемой организации не устанавливается для регулируемой организации: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05.05.2017 N 534)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являющейся некоммерческой организацией, государственным или муниципальным унитарным предприятием;</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владеющей объектом (объектами) в области обращения с твердыми коммунальными отходами исключительно на основании договора (договоров) аренды, заключенного на срок менее 3 лет.</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05.05.2017 N 534)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Компенсация расходов на уплату налога на прибыль в отношении расчетной предпринимательской прибыли осуществляется за счет регулируемой организации, исполняющей обязанности налогоплательщика в соответствии с законодательством Российской Федерации о налогах и сборах, и не включается в состав расходов, учитываемых в составе необходимой валовой выручки регулируемой организации.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0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5" w:name="Par273"/>
      <w:bookmarkEnd w:id="25"/>
      <w:r>
        <w:rPr>
          <w:rFonts w:ascii="Times New Roman" w:hAnsi="Times New Roman" w:cs="Times New Roman"/>
          <w:sz w:val="20"/>
          <w:szCs w:val="20"/>
        </w:rPr>
        <w:t>40. Расходы регулируемой организации на приобретение сырья и материалов, используемых для производственных нужд, а также на их хранение рассчитываются как сумма расходов по каждому виду сырья и материалов, являющихся произведением плановых (расчетных) цен на сырье и материалы и экономически обоснованных объемов потребления сырья и материалов.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41. Расходы регулируемой организации на приобретаемые энергетические ресурсы определяются как сумма произведений расчетных экономически (технологически, технически) обоснованных объемов приобретаемых энергетических ресурсов и плановых (расчетных) цен (тарифов) на энергетические ресурсы.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42. При определении расходов на оплату труда, включаемых в необходимую валовую выручку, размер фонда оплаты труда определяется с учетом отраслевых тарифных соглашений, коллективных договоров, заключенных регулируемой организацией, и планового и (или) фактического уровня фонда оплаты труда, сложившегося за последний период регулирования в регулируемой организации и других регулируемых организациях, осуществляющих аналогичные виды регулируемой деятельности в сопоставимых условиях, а также с учетом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w:t>
      </w:r>
      <w:r>
        <w:rPr>
          <w:rFonts w:ascii="Times New Roman" w:hAnsi="Times New Roman" w:cs="Times New Roman"/>
          <w:sz w:val="20"/>
          <w:szCs w:val="20"/>
        </w:rPr>
        <w:lastRenderedPageBreak/>
        <w:t>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42 в ред. </w:t>
      </w:r>
      <w:hyperlink r:id="rId10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6" w:name="Par277"/>
      <w:bookmarkEnd w:id="26"/>
      <w:r>
        <w:rPr>
          <w:rFonts w:ascii="Times New Roman" w:hAnsi="Times New Roman" w:cs="Times New Roman"/>
          <w:sz w:val="20"/>
          <w:szCs w:val="20"/>
        </w:rPr>
        <w:t>43. При определении расходов регулируемой организации на текущий и капитальный ремонт используются расчетные цены и экономически (технически, технологически) обоснованный объем ремонтных работ, предусмотренный производственной программой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7" w:name="Par278"/>
      <w:bookmarkEnd w:id="27"/>
      <w:r>
        <w:rPr>
          <w:rFonts w:ascii="Times New Roman" w:hAnsi="Times New Roman" w:cs="Times New Roman"/>
          <w:sz w:val="20"/>
          <w:szCs w:val="20"/>
        </w:rPr>
        <w:t xml:space="preserve">43(1). Расходы на плату за негативное воздействие на окружающую среду при размещении твердых коммунальных отходов определяются исходя из установленных Правительством Российской Федерации </w:t>
      </w:r>
      <w:hyperlink r:id="rId106" w:history="1">
        <w:r>
          <w:rPr>
            <w:rFonts w:ascii="Times New Roman" w:hAnsi="Times New Roman" w:cs="Times New Roman"/>
            <w:color w:val="0000FF"/>
            <w:sz w:val="20"/>
            <w:szCs w:val="20"/>
          </w:rPr>
          <w:t>ставок</w:t>
        </w:r>
      </w:hyperlink>
      <w:r>
        <w:rPr>
          <w:rFonts w:ascii="Times New Roman" w:hAnsi="Times New Roman" w:cs="Times New Roman"/>
          <w:sz w:val="20"/>
          <w:szCs w:val="20"/>
        </w:rPr>
        <w:t xml:space="preserve"> платы за негативное воздействие на окружающую среду с учетом применяемых к ним коэффициентов и расчетного объема и (или) массы размещения твердых коммунальных отходов по классам опасности.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Распределение расчетного объема и (или) массы размещения твердых коммунальных отходов по классам опасности осуществляется в соответствии с территориальной схемой. В случае отсутствия в территориальной схеме распределения расчетного объема и (или) массы размещения твердых коммунальных отходов по классам опасности распределение объема и (или) массы размещения твердых коммунальных отходов по классам опасности осуществляется органом регулирования с учетом фактических данных за последний отчетный год и динамики размещения объема и (или) массы твердых коммунальных отходов по классам опасности за последние 3 года. В течение периода действия тарифов 100 процентов средств, образовавшихся в результате снижения расходов на плату за негативное воздействие на окружающую среду при размещении твердых коммунальных отходов вследствие реализации мероприятий по утилизации твердых коммунальных отходов, в том числе по их утилизации после обезвреживания, остаются в распоряжении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Величина расходов регулируемой организации на плату за негативное воздействие при размещении твердых коммунальных отходов, устанавливаемая на оставшийся период действия долгосрочных тарифов, не может быть уменьшена органом регулирования в связи с указанным снижением расходов.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43(1) введен </w:t>
      </w:r>
      <w:hyperlink r:id="rId107"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29.06.2018 N 758)</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VII. Метод индексации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44. 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нормативную прибыль, а также расчетную предпринимательскую прибыль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45. При применении метода индексации тарифы, долгосрочные параметры регулирования тарифов устанавливаются на каждый год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8" w:name="Par287"/>
      <w:bookmarkEnd w:id="28"/>
      <w:r>
        <w:rPr>
          <w:rFonts w:ascii="Times New Roman" w:hAnsi="Times New Roman" w:cs="Times New Roman"/>
          <w:sz w:val="20"/>
          <w:szCs w:val="20"/>
        </w:rPr>
        <w:t>46.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47. Операционные расходы регулируемой организации определяются в соответствии с методическими указаниями на каждый год долгосрочного периода регулирования путем индексации установленного базового уровня операционных расходов. При индексации применяются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на очередной год и плановый период, и индекс эффективности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определении операционных расходов на год долгосрочного периода регулирования, не вошедший в плановый период прогноза социально-экономического развития Российской Федерации, применяется индекс потребительских цен, установленный на последний год этого планового периода.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48. Базовый уровень операционных расходов определяется в соответствии с методическими указаниями и включает в себя производственные расходы (за исключением расходов на энергетические ресурсы), ремонтные расходы, административные расходы и сбытовые расходы, определенные в соответствии с </w:t>
      </w:r>
      <w:hyperlink w:anchor="Par126" w:history="1">
        <w:r>
          <w:rPr>
            <w:rFonts w:ascii="Times New Roman" w:hAnsi="Times New Roman" w:cs="Times New Roman"/>
            <w:color w:val="0000FF"/>
            <w:sz w:val="20"/>
            <w:szCs w:val="20"/>
          </w:rPr>
          <w:t>пунктами 14</w:t>
        </w:r>
      </w:hyperlink>
      <w:r>
        <w:rPr>
          <w:rFonts w:ascii="Times New Roman" w:hAnsi="Times New Roman" w:cs="Times New Roman"/>
          <w:sz w:val="20"/>
          <w:szCs w:val="20"/>
        </w:rPr>
        <w:t xml:space="preserve">, </w:t>
      </w:r>
      <w:hyperlink w:anchor="Par138" w:history="1">
        <w:r>
          <w:rPr>
            <w:rFonts w:ascii="Times New Roman" w:hAnsi="Times New Roman" w:cs="Times New Roman"/>
            <w:color w:val="0000FF"/>
            <w:sz w:val="20"/>
            <w:szCs w:val="20"/>
          </w:rPr>
          <w:t>15</w:t>
        </w:r>
      </w:hyperlink>
      <w:r>
        <w:rPr>
          <w:rFonts w:ascii="Times New Roman" w:hAnsi="Times New Roman" w:cs="Times New Roman"/>
          <w:sz w:val="20"/>
          <w:szCs w:val="20"/>
        </w:rPr>
        <w:t xml:space="preserve">, </w:t>
      </w:r>
      <w:hyperlink w:anchor="Par203" w:history="1">
        <w:r>
          <w:rPr>
            <w:rFonts w:ascii="Times New Roman" w:hAnsi="Times New Roman" w:cs="Times New Roman"/>
            <w:color w:val="0000FF"/>
            <w:sz w:val="20"/>
            <w:szCs w:val="20"/>
          </w:rPr>
          <w:t>30</w:t>
        </w:r>
      </w:hyperlink>
      <w:r>
        <w:rPr>
          <w:rFonts w:ascii="Times New Roman" w:hAnsi="Times New Roman" w:cs="Times New Roman"/>
          <w:sz w:val="20"/>
          <w:szCs w:val="20"/>
        </w:rPr>
        <w:t xml:space="preserve"> - </w:t>
      </w:r>
      <w:hyperlink w:anchor="Par228" w:history="1">
        <w:r>
          <w:rPr>
            <w:rFonts w:ascii="Times New Roman" w:hAnsi="Times New Roman" w:cs="Times New Roman"/>
            <w:color w:val="0000FF"/>
            <w:sz w:val="20"/>
            <w:szCs w:val="20"/>
          </w:rPr>
          <w:t>33</w:t>
        </w:r>
      </w:hyperlink>
      <w:r>
        <w:rPr>
          <w:rFonts w:ascii="Times New Roman" w:hAnsi="Times New Roman" w:cs="Times New Roman"/>
          <w:sz w:val="20"/>
          <w:szCs w:val="20"/>
        </w:rPr>
        <w:t xml:space="preserve">, </w:t>
      </w:r>
      <w:hyperlink w:anchor="Par273" w:history="1">
        <w:r>
          <w:rPr>
            <w:rFonts w:ascii="Times New Roman" w:hAnsi="Times New Roman" w:cs="Times New Roman"/>
            <w:color w:val="0000FF"/>
            <w:sz w:val="20"/>
            <w:szCs w:val="20"/>
          </w:rPr>
          <w:t>40</w:t>
        </w:r>
      </w:hyperlink>
      <w:r>
        <w:rPr>
          <w:rFonts w:ascii="Times New Roman" w:hAnsi="Times New Roman" w:cs="Times New Roman"/>
          <w:sz w:val="20"/>
          <w:szCs w:val="20"/>
        </w:rPr>
        <w:t xml:space="preserve"> - </w:t>
      </w:r>
      <w:hyperlink w:anchor="Par277" w:history="1">
        <w:r>
          <w:rPr>
            <w:rFonts w:ascii="Times New Roman" w:hAnsi="Times New Roman" w:cs="Times New Roman"/>
            <w:color w:val="0000FF"/>
            <w:sz w:val="20"/>
            <w:szCs w:val="20"/>
          </w:rPr>
          <w:t>43</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49. Индекс эффективности операционных расходов, характеризующий минимально допустимый темп повышения эффективности операционных расходов, устанавливается в размере 1 процента, если иное не было предусмотрено конкурсной документацией при проведении конкурса на заключение концессионного соглашения, соглашением о государственно-частном партнерстве, договором аренды, договором лизинга, конкурсной документацией на получение статуса регионального оператора.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При этом на первый долгосрочный период регулирования индекс эффективности операционных расходов определяется в размере от 1 до 3 процентов в год по решению органа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29" w:name="Par293"/>
      <w:bookmarkEnd w:id="29"/>
      <w:r>
        <w:rPr>
          <w:rFonts w:ascii="Times New Roman" w:hAnsi="Times New Roman" w:cs="Times New Roman"/>
          <w:sz w:val="20"/>
          <w:szCs w:val="20"/>
        </w:rPr>
        <w:t>50. Неподконтрольные расходы включают в себя: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расходы на оплату товаров (услуг, работ), приобретаемых у других организаций, осуществляющих регулируемые виды деятельности;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расходы на уплату налогов, сборов и других обязательных платежей, в том числе расходы на обязательное страхование, предусмотренные законодательными актами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расходы на арендную плату, концессионную плату и лизинговые платежи, размер которых определяется с учетом требований, предусмотренных </w:t>
      </w:r>
      <w:hyperlink w:anchor="Par238" w:history="1">
        <w:r>
          <w:rPr>
            <w:rFonts w:ascii="Times New Roman" w:hAnsi="Times New Roman" w:cs="Times New Roman"/>
            <w:color w:val="0000FF"/>
            <w:sz w:val="20"/>
            <w:szCs w:val="20"/>
          </w:rPr>
          <w:t>пунктом 35</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 сбытовые расходы, определяемые в порядке, предусмотренном </w:t>
      </w:r>
      <w:hyperlink w:anchor="Par228" w:history="1">
        <w:r>
          <w:rPr>
            <w:rFonts w:ascii="Times New Roman" w:hAnsi="Times New Roman" w:cs="Times New Roman"/>
            <w:color w:val="0000FF"/>
            <w:sz w:val="20"/>
            <w:szCs w:val="20"/>
          </w:rPr>
          <w:t>пунктом 33</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экономию средств, достигнутую в результате снижения расходов предыдущего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е) расходы на компенсацию в соответствии с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 экономически обоснованных расходов, не учтенных органом регулирования тарифов при установлении тарифов в прошлые периоды регулирования, и (или) недополученных доходов;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ж) расходы на выплаты по договорам займа и кредитным договорам, включая возврат сумм основного долга и процентов по ним, за исключением средств на возврат займов и кредитов, процентов по ним, предусмотренных </w:t>
      </w:r>
      <w:hyperlink w:anchor="Par258" w:history="1">
        <w:r>
          <w:rPr>
            <w:rFonts w:ascii="Times New Roman" w:hAnsi="Times New Roman" w:cs="Times New Roman"/>
            <w:color w:val="0000FF"/>
            <w:sz w:val="20"/>
            <w:szCs w:val="20"/>
          </w:rPr>
          <w:t>подпунктом "б" пункта 38</w:t>
        </w:r>
      </w:hyperlink>
      <w:r>
        <w:rPr>
          <w:rFonts w:ascii="Times New Roman" w:hAnsi="Times New Roman" w:cs="Times New Roman"/>
          <w:sz w:val="20"/>
          <w:szCs w:val="20"/>
        </w:rPr>
        <w:t xml:space="preserve"> настоящего документа, с учетом положений, предусмотренных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 расходы на плату за негативное воздействие на окружающую среду при размещении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"з" в ред. </w:t>
      </w:r>
      <w:hyperlink r:id="rId108"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29.06.2018 N 758)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51. Расходы на арендную плату, концессионную плату и лизинговые платежи учитываются в составе неподконтрольных расходов, если договор аренды (концессии, лизинга) заключен в отношении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09"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остальных случаях расходы на арендную плату, концессионную плату и лизинговые платежи включаются в состав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0" w:name="Par306"/>
      <w:bookmarkEnd w:id="30"/>
      <w:r>
        <w:rPr>
          <w:rFonts w:ascii="Times New Roman" w:hAnsi="Times New Roman" w:cs="Times New Roman"/>
          <w:sz w:val="20"/>
          <w:szCs w:val="20"/>
        </w:rPr>
        <w:t>52. Расходы на приобретение энергетических ресурсов включаются в необходимую валовую выручку в объеме, определенном исходя из удельных расходов на энергетические ресурсы в расчете на объем (массу) принятых твердых коммунальных отходов, а также исходя из плановых (расчетных) цен (тарифов) на энергетические ресурсы.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снижении удельного расхода на энергетические ресурсы средства, полученные в результате уменьшения указанных расходов при условии выполнения производственной программы в полном объеме, не исключаются при расчете тарифов регулируемой организации в течение 5 лет, начиная с года, следующего за годом, в течение которого была получена экономия указанных средств.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Плановые (расчетные) цены на энергетические ресурсы определяются на основе данных, предусмотренных </w:t>
      </w:r>
      <w:hyperlink w:anchor="Par126" w:history="1">
        <w:r>
          <w:rPr>
            <w:rFonts w:ascii="Times New Roman" w:hAnsi="Times New Roman" w:cs="Times New Roman"/>
            <w:color w:val="0000FF"/>
            <w:sz w:val="20"/>
            <w:szCs w:val="20"/>
          </w:rPr>
          <w:t>пунктом 14</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53. 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методическими указаниями с учетом особенностей, предусмотренных </w:t>
      </w:r>
      <w:hyperlink w:anchor="Par231" w:history="1">
        <w:r>
          <w:rPr>
            <w:rFonts w:ascii="Times New Roman" w:hAnsi="Times New Roman" w:cs="Times New Roman"/>
            <w:color w:val="0000FF"/>
            <w:sz w:val="20"/>
            <w:szCs w:val="20"/>
          </w:rPr>
          <w:t>пунктом 34</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53 в ред. </w:t>
      </w:r>
      <w:hyperlink r:id="rId11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54. Величина нормативной прибыли регулируемой организации с применением метода индексации определяется в соответствии с </w:t>
      </w:r>
      <w:hyperlink w:anchor="Par255" w:history="1">
        <w:r>
          <w:rPr>
            <w:rFonts w:ascii="Times New Roman" w:hAnsi="Times New Roman" w:cs="Times New Roman"/>
            <w:color w:val="0000FF"/>
            <w:sz w:val="20"/>
            <w:szCs w:val="20"/>
          </w:rPr>
          <w:t>пунктом 38</w:t>
        </w:r>
      </w:hyperlink>
      <w:r>
        <w:rPr>
          <w:rFonts w:ascii="Times New Roman" w:hAnsi="Times New Roman" w:cs="Times New Roman"/>
          <w:sz w:val="20"/>
          <w:szCs w:val="20"/>
        </w:rPr>
        <w:t xml:space="preserve"> настоящего документа с учетом особенностей, предусмотренных настоящим пунктом.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в экономически обоснованном размере с учетом утвержденной в установленном порядке инвестиционной программы </w:t>
      </w:r>
      <w:r>
        <w:rPr>
          <w:rFonts w:ascii="Times New Roman" w:hAnsi="Times New Roman" w:cs="Times New Roman"/>
          <w:sz w:val="20"/>
          <w:szCs w:val="20"/>
        </w:rPr>
        <w:lastRenderedPageBreak/>
        <w:t>такой организации на соответствующий год и определенных указанной инвестиционной программой источников финансирования.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1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определении величины расходов на капитальные вложения (инвестиции) в составе нормативной прибыли регулируемой организации не учитываются расходы, финансируемые за счет надбавок к ценам (тарифам) для потребителей услуг организаций коммунального комплекса, установленных в соответствии с Федеральным </w:t>
      </w:r>
      <w:hyperlink r:id="rId11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основах регулирования тарифов организаций коммунального комплекса", амортизации, заемных средств, средств бюджетов бюджетной системы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1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определении расходов на возврат займов и кредитов, привлекаемых на реализацию мероприятий инвестиционной программы регулируемой организации, не учитываются расходы на возврат займов и кредитов, финансируемые за счет амортизации.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(принятия в установленном порядке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регулируемой организации, величина нормативной прибыли регулируемой организации на годы, следующие за годом окончания срока действия такой инвестиционной программы, определяется на уровне величины нормативной прибыли регулируемой организации в последний год действия данной инвестиционной программы.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юридического лица или индивидуального предпринимателя, впервые представивших предложение об установлении тарифов, в случае, если такими юридическим лицом или индивидуальным предпринимателем реализованы мероприятия утвержденной в установленном порядке инвестиционной программы в части соответствующего регулируемого вида деятельности в области обращения с твердыми коммунальными отходами, расчет нормативной прибыли осуществляется в соответствии с </w:t>
      </w:r>
      <w:hyperlink w:anchor="Par260" w:history="1">
        <w:r>
          <w:rPr>
            <w:rFonts w:ascii="Times New Roman" w:hAnsi="Times New Roman" w:cs="Times New Roman"/>
            <w:color w:val="0000FF"/>
            <w:sz w:val="20"/>
            <w:szCs w:val="20"/>
          </w:rPr>
          <w:t>пунктом 38(1)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1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25.07.2018 N 867)</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55. Расчетная предпринимательская прибыль регулируемой организации определяется с учетом особенностей, предусмотренных </w:t>
      </w:r>
      <w:hyperlink w:anchor="Par263" w:history="1">
        <w:r>
          <w:rPr>
            <w:rFonts w:ascii="Times New Roman" w:hAnsi="Times New Roman" w:cs="Times New Roman"/>
            <w:color w:val="0000FF"/>
            <w:sz w:val="20"/>
            <w:szCs w:val="20"/>
          </w:rPr>
          <w:t>пунктом 39</w:t>
        </w:r>
      </w:hyperlink>
      <w:r>
        <w:rPr>
          <w:rFonts w:ascii="Times New Roman" w:hAnsi="Times New Roman" w:cs="Times New Roman"/>
          <w:sz w:val="20"/>
          <w:szCs w:val="20"/>
        </w:rPr>
        <w:t xml:space="preserve"> настоящего постановления, в размере 5 процентов текущих расходов на каждый год долгосрочного периода регулирования, определенных в соответствии с </w:t>
      </w:r>
      <w:hyperlink w:anchor="Par287" w:history="1">
        <w:r>
          <w:rPr>
            <w:rFonts w:ascii="Times New Roman" w:hAnsi="Times New Roman" w:cs="Times New Roman"/>
            <w:color w:val="0000FF"/>
            <w:sz w:val="20"/>
            <w:szCs w:val="20"/>
          </w:rPr>
          <w:t>пунктом 46</w:t>
        </w:r>
      </w:hyperlink>
      <w:r>
        <w:rPr>
          <w:rFonts w:ascii="Times New Roman" w:hAnsi="Times New Roman" w:cs="Times New Roman"/>
          <w:sz w:val="20"/>
          <w:szCs w:val="20"/>
        </w:rPr>
        <w:t xml:space="preserve"> настоящего документа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1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05.05.2017 N 534)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w:t>
      </w:r>
      <w:hyperlink r:id="rId116"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РФ от 05.05.2017 N 534.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Компенсация расходов на уплату налога на прибыль в отношении расчетной предпринимательской прибыли осуществляется за счет регулируемой организации, исполняющей обязанности налогоплательщика в соответствии с законодательством Российской Федерации о налогах и сборах, и не включается в расходы, учитываемые в составе необходимой валовой выручки регулируемой организации.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17"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29.10.2019 N 1386)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55(1). Величина расходов на плату за негативное воздействие на окружающую среду при размещении твердых коммунальных отходов определяется в соответствии с </w:t>
      </w:r>
      <w:hyperlink w:anchor="Par278" w:history="1">
        <w:r>
          <w:rPr>
            <w:rFonts w:ascii="Times New Roman" w:hAnsi="Times New Roman" w:cs="Times New Roman"/>
            <w:color w:val="0000FF"/>
            <w:sz w:val="20"/>
            <w:szCs w:val="20"/>
          </w:rPr>
          <w:t>пунктом 43(1)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55(1) введен </w:t>
      </w:r>
      <w:hyperlink r:id="rId11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29.06.2018 N 758)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56. К долгосрочным параметрам регулирования тарифов при установлении тарифов с использованием метода индексации относятся: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базовый уровень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б) индекс эффективности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показатели энергосбережения и энергоэффективности (удельный расход энергетических ресурсов).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57. Необходимая валовая выручка регулируемой организации и тарифы, установленные с применением метода индексации, ежегодно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1" w:name="Par334"/>
      <w:bookmarkEnd w:id="31"/>
      <w:r>
        <w:rPr>
          <w:rFonts w:ascii="Times New Roman" w:hAnsi="Times New Roman" w:cs="Times New Roman"/>
          <w:sz w:val="20"/>
          <w:szCs w:val="20"/>
        </w:rPr>
        <w:t>58. Корректировка тарифов осуществляется по результатам истекшего года в соответствии с формулой корректировки необходимой валовой выручки, установленной в методических указаниях и включающей следующие показатели: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отклонение фактического объема (массы) принятых твердых коммунальных отходов от объема (массы), учтенного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отклонение фактически достигнутого уровня неподконтрольных расходов от уровня неподконтрольных расходов, который был использован при установлении тарифов;</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При установлении (корректировке) тарифов в сфере обращения с ТКО в 2022, 2023 гг. не применяется пп. "г" п. 58 в случае неисполнения инвестиционной программы регулируемой организации в 2022 году (</w:t>
            </w:r>
            <w:hyperlink r:id="rId11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13.12.2022 N 2295).</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p>
        </w:tc>
      </w:tr>
    </w:tbl>
    <w:p w:rsidR="005F7112" w:rsidRDefault="005F7112" w:rsidP="005F7112">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ввод и вывод объектов, используемых для обработки, обезвреживания, захоронения и энергетической утилизации твердых коммунальных отходов, и изменение утвержденной в установленном порядке инвестиционной программы регулируемой организации;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При установлении (корректировке) тарифов в сфере обращения с ТКО в 2022, 2023 гг. не применяется пп. "д" п. 58 в случае неисполнения инвестиционной программы регулируемой организации в 2022 году (</w:t>
            </w:r>
            <w:hyperlink r:id="rId121"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13.12.2022 N 2295).</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p>
        </w:tc>
      </w:tr>
    </w:tbl>
    <w:p w:rsidR="005F7112" w:rsidRDefault="005F7112" w:rsidP="005F7112">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е) учет расходов, предусмотренных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59. Экономия средств, достигнутая регулируемой организацией в результате снижения расходов в предыдущий долгосрочный период регулирования, имеет место, если фактический объем операционных расходов и (или) расходов на приобретение энергетических ресурсов регулируемой организации меньше величины таких расходов, установленных на долгосрочный период регулирования, и регулируемая организация исполняет обязательства, предусмотренные производственной программой, в полном объеме.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60. Экономия средств, достигнутая регулируемой организацией в результате снижения расходов в каждом году долгосрочного периода регулирования, а также экономия энергетических ресурсов учитываются в составе необходимой валовой выручки в течение последующих 5 лет.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если часть из этих 5 лет приходится на следующий долгосрочный период регулирования, экономия средств учитывается в необходимой валовой выручке регулируемой организации, устанавливаемой на следующий долгосрочный период регулирования, в составе неподконтрольных расходов в порядке, определенном методическими указаниями.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lastRenderedPageBreak/>
        <w:t>VIII. Метод доходности инвестированного капитала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bookmarkStart w:id="32" w:name="Par352"/>
      <w:bookmarkEnd w:id="32"/>
      <w:r>
        <w:rPr>
          <w:rFonts w:ascii="Times New Roman" w:hAnsi="Times New Roman" w:cs="Times New Roman"/>
          <w:sz w:val="20"/>
          <w:szCs w:val="20"/>
        </w:rPr>
        <w:t>61. Выбор метода доходности инвестированного капитала осуществляется по решению органа регулирования тарифов в отношении регулируемых организаций, осуществляющих эксплуатацию объектов, используемых для обращения с твердыми коммунальными отходами, созданных не ранее 1 января 2015 г.</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62. Долгосрочные тарифы устанавливаются с применением метода доходности инвестированного капитала в числовом выражении отдельно на каждый год долгосрочного периода регулирования на основе долгосрочных параметров регулирования тарифов и иных параметров расчета тарифов. Значения долгосрочных параметров регулирования тарифов устанавливаются органом регулирования тарифов на весь долгосрочный период регулирования в соответствии с настоящим документом и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63. К долгосрочным параметрам регулирования тарифов, устанавливаемым на долгосрочный период регулирования при формировании тарифов с применением метода доходности инвестированного капитала, относятся: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базовый уровень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индекс эффективности операционных расходов;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норматив чистого оборотного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норма доходности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срок возврата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первоначальный размер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показатели энергосбережения и энергетической эффективности (удельный расход энергетических ресурсов).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64. При применении метода доходности инвестированного капитала необходимая валовая выручка регулируемой организации определяется как сумма текущих расходов, средств, обеспечивающих возврат инвестированного капитала, и средств, обеспечивающих получение дохода на инвестированный капитал.</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65.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 Текущие расходы определяются в соответствии с </w:t>
      </w:r>
      <w:hyperlink w:anchor="Par278" w:history="1">
        <w:r>
          <w:rPr>
            <w:rFonts w:ascii="Times New Roman" w:hAnsi="Times New Roman" w:cs="Times New Roman"/>
            <w:color w:val="0000FF"/>
            <w:sz w:val="20"/>
            <w:szCs w:val="20"/>
          </w:rPr>
          <w:t>пунктами 43(1)</w:t>
        </w:r>
      </w:hyperlink>
      <w:r>
        <w:rPr>
          <w:rFonts w:ascii="Times New Roman" w:hAnsi="Times New Roman" w:cs="Times New Roman"/>
          <w:sz w:val="20"/>
          <w:szCs w:val="20"/>
        </w:rPr>
        <w:t xml:space="preserve">, </w:t>
      </w:r>
      <w:hyperlink w:anchor="Par287" w:history="1">
        <w:r>
          <w:rPr>
            <w:rFonts w:ascii="Times New Roman" w:hAnsi="Times New Roman" w:cs="Times New Roman"/>
            <w:color w:val="0000FF"/>
            <w:sz w:val="20"/>
            <w:szCs w:val="20"/>
          </w:rPr>
          <w:t>46</w:t>
        </w:r>
      </w:hyperlink>
      <w:r>
        <w:rPr>
          <w:rFonts w:ascii="Times New Roman" w:hAnsi="Times New Roman" w:cs="Times New Roman"/>
          <w:sz w:val="20"/>
          <w:szCs w:val="20"/>
        </w:rPr>
        <w:t xml:space="preserve"> - </w:t>
      </w:r>
      <w:hyperlink w:anchor="Par306" w:history="1">
        <w:r>
          <w:rPr>
            <w:rFonts w:ascii="Times New Roman" w:hAnsi="Times New Roman" w:cs="Times New Roman"/>
            <w:color w:val="0000FF"/>
            <w:sz w:val="20"/>
            <w:szCs w:val="20"/>
          </w:rPr>
          <w:t>52</w:t>
        </w:r>
      </w:hyperlink>
      <w:r>
        <w:rPr>
          <w:rFonts w:ascii="Times New Roman" w:hAnsi="Times New Roman" w:cs="Times New Roman"/>
          <w:sz w:val="20"/>
          <w:szCs w:val="20"/>
        </w:rPr>
        <w:t xml:space="preserve"> настоящего документа с учетом того, что неподконтрольные расходы не включают в себя указанные в </w:t>
      </w:r>
      <w:hyperlink w:anchor="Par293" w:history="1">
        <w:r>
          <w:rPr>
            <w:rFonts w:ascii="Times New Roman" w:hAnsi="Times New Roman" w:cs="Times New Roman"/>
            <w:color w:val="0000FF"/>
            <w:sz w:val="20"/>
            <w:szCs w:val="20"/>
          </w:rPr>
          <w:t>пункте 50</w:t>
        </w:r>
      </w:hyperlink>
      <w:r>
        <w:rPr>
          <w:rFonts w:ascii="Times New Roman" w:hAnsi="Times New Roman" w:cs="Times New Roman"/>
          <w:sz w:val="20"/>
          <w:szCs w:val="20"/>
        </w:rPr>
        <w:t xml:space="preserve"> настоящего документа расходы на выплаты по договорам займа и кредитным договорам.</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29.06.2018 N 758)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66. Размер средств, обеспечивающих возврат инвестированного капитала, который подлежит учету при установлении тарифов на очередной год долгосрочного периода регулирования, определяется в соответствии с методическими указаниями исходя из полного размера инвестированного капитала и срока возврата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Возврат инвестированного капитала осуществляется равными долями каждый год в течение срока возврата инвестированного капитала, начиная с года, следующего за годом, в котором (в соответствии с утвержденной инвестиционной программой регулируемой организации) построенный, реконструированный и (или) модернизированный объект, используемый для обращения с твердыми коммунальными отходами, в установленном порядке введен в эксплуатацию.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67. Срок возврата инвестированного капитала устанавливается по решению органа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в отношении регулируемых организаций, осуществляющих деятельность на основании концессионного соглашения, соглашения о государственно-частном партнерстве, муниципально-частном партнерстве или договора аренды, - от 7 до 30 лет в соответствии с условиями, установленными такими соглашениями или договором, и сроками возврата займов и кредитов, привлекаемых в целях создания и (или) реконструкции объектов, используемых для обработки, обезвреживания, захоронения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Постановлений Правительства РФ от 15.09.2018 </w:t>
      </w:r>
      <w:hyperlink r:id="rId123" w:history="1">
        <w:r>
          <w:rPr>
            <w:rFonts w:ascii="Times New Roman" w:hAnsi="Times New Roman" w:cs="Times New Roman"/>
            <w:color w:val="0000FF"/>
            <w:sz w:val="20"/>
            <w:szCs w:val="20"/>
          </w:rPr>
          <w:t>N 1094</w:t>
        </w:r>
      </w:hyperlink>
      <w:r>
        <w:rPr>
          <w:rFonts w:ascii="Times New Roman" w:hAnsi="Times New Roman" w:cs="Times New Roman"/>
          <w:sz w:val="20"/>
          <w:szCs w:val="20"/>
        </w:rPr>
        <w:t xml:space="preserve">, от 06.12.2021 </w:t>
      </w:r>
      <w:hyperlink r:id="rId124" w:history="1">
        <w:r>
          <w:rPr>
            <w:rFonts w:ascii="Times New Roman" w:hAnsi="Times New Roman" w:cs="Times New Roman"/>
            <w:color w:val="0000FF"/>
            <w:sz w:val="20"/>
            <w:szCs w:val="20"/>
          </w:rPr>
          <w:t>N 2209</w:t>
        </w:r>
      </w:hyperlink>
      <w:r>
        <w:rPr>
          <w:rFonts w:ascii="Times New Roman" w:hAnsi="Times New Roman" w:cs="Times New Roman"/>
          <w:sz w:val="20"/>
          <w:szCs w:val="20"/>
        </w:rPr>
        <w:t>)</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в отношении иных регулируемых организаций - от 20 до 30 лет.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68. В необходимую валовую выручку регулируемой организации включаются средства, обеспечивающие получение дохода на инвестированный капитал, равные произведению нормы доходности, базы инвестированного капитала и величины норматива чистого оборотного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69. Величина норматива чистого оборотного капитала устанавливается органом регулирования тарифов по каждому регулируемому виду деятельности на каждый год долгосрочного периода регулирования в размере 5 процентов необходимой валовой выручки регулируемой организации, установленной для соответствующего регулируемого вида деятельности на предыдущий период регулирования, если иной норматив чистого оборотного капитала не установлен концессионным соглашением, соглашением о государственно-частном партнерстве, о муниципально-частном партнерстве, договором аренды объектов, используемых для обработки, обезвреживания, захоронения и энергетической утилизации твердых коммунальных отходов, находящихся в государственной или муниципальной собственности.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70. Необходимая валовая выручка регулируемой организации и тарифы, установленные с применением метода доходности инвестированного капитала,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Корректировка осуществляется в соответствии с формулой корректировки необходимой валовой выручки, установленной в методических указаниях и включающей показатели, предусмотренные </w:t>
      </w:r>
      <w:hyperlink w:anchor="Par334" w:history="1">
        <w:r>
          <w:rPr>
            <w:rFonts w:ascii="Times New Roman" w:hAnsi="Times New Roman" w:cs="Times New Roman"/>
            <w:color w:val="0000FF"/>
            <w:sz w:val="20"/>
            <w:szCs w:val="20"/>
          </w:rPr>
          <w:t>пунктом 58</w:t>
        </w:r>
      </w:hyperlink>
      <w:r>
        <w:rPr>
          <w:rFonts w:ascii="Times New Roman" w:hAnsi="Times New Roman" w:cs="Times New Roman"/>
          <w:sz w:val="20"/>
          <w:szCs w:val="20"/>
        </w:rPr>
        <w:t xml:space="preserve"> настоящего документа, а также с учетом показателя изменения полной величины инвестированного капитала, первоначального размера инвестированного капитала или базы инвестированного капитала в соответствии с </w:t>
      </w:r>
      <w:hyperlink w:anchor="Par388" w:history="1">
        <w:r>
          <w:rPr>
            <w:rFonts w:ascii="Times New Roman" w:hAnsi="Times New Roman" w:cs="Times New Roman"/>
            <w:color w:val="0000FF"/>
            <w:sz w:val="20"/>
            <w:szCs w:val="20"/>
          </w:rPr>
          <w:t>пунктами 72</w:t>
        </w:r>
      </w:hyperlink>
      <w:r>
        <w:rPr>
          <w:rFonts w:ascii="Times New Roman" w:hAnsi="Times New Roman" w:cs="Times New Roman"/>
          <w:sz w:val="20"/>
          <w:szCs w:val="20"/>
        </w:rPr>
        <w:t xml:space="preserve"> - </w:t>
      </w:r>
      <w:hyperlink w:anchor="Par394" w:history="1">
        <w:r>
          <w:rPr>
            <w:rFonts w:ascii="Times New Roman" w:hAnsi="Times New Roman" w:cs="Times New Roman"/>
            <w:color w:val="0000FF"/>
            <w:sz w:val="20"/>
            <w:szCs w:val="20"/>
          </w:rPr>
          <w:t>74</w:t>
        </w:r>
      </w:hyperlink>
      <w:r>
        <w:rPr>
          <w:rFonts w:ascii="Times New Roman" w:hAnsi="Times New Roman" w:cs="Times New Roman"/>
          <w:sz w:val="20"/>
          <w:szCs w:val="20"/>
        </w:rPr>
        <w:t xml:space="preserve">, </w:t>
      </w:r>
      <w:hyperlink w:anchor="Par404" w:history="1">
        <w:r>
          <w:rPr>
            <w:rFonts w:ascii="Times New Roman" w:hAnsi="Times New Roman" w:cs="Times New Roman"/>
            <w:color w:val="0000FF"/>
            <w:sz w:val="20"/>
            <w:szCs w:val="20"/>
          </w:rPr>
          <w:t>76</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IX. Определение размера инвестированного</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капитала, базы инвестированного капитала и порядок</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их учета при регулировании тарифов методом</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доходности инвестированного капитала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bookmarkStart w:id="33" w:name="Par382"/>
      <w:bookmarkEnd w:id="33"/>
      <w:r>
        <w:rPr>
          <w:rFonts w:ascii="Times New Roman" w:hAnsi="Times New Roman" w:cs="Times New Roman"/>
          <w:sz w:val="20"/>
          <w:szCs w:val="20"/>
        </w:rPr>
        <w:t>71. При переходе к установлению регулируемых тарифов регулируемой организации с применением метода доходности инвестированного капитала первоначальный размер инвестированного капитала определяется по данным бухгалтерского учета по состоянию на 31 декабря 2015 г. раздельно по регулируемым видам деятельности в размере, равном остаточной стоимости объектов, используемых для обращения с твердыми коммунальными отходами, принадлежащих регулируемой организации на праве собственности (далее - остаточная стоимость объектов), с учетом следующих корректировок за период с 31 декабря 2015 г. по 31 декабря (включительно) года, предшествующего началу первого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 увеличение остаточной стоимости объектов на величину стоимости построенных, реконструированных, модернизированных и введенных в эксплуатацию в рамках реализации инвестиционной программы регулируемой организации объектов и (или) приобретенных объектов, определяемую в соответствии с </w:t>
      </w:r>
      <w:hyperlink w:anchor="Par407" w:history="1">
        <w:r>
          <w:rPr>
            <w:rFonts w:ascii="Times New Roman" w:hAnsi="Times New Roman" w:cs="Times New Roman"/>
            <w:color w:val="0000FF"/>
            <w:sz w:val="20"/>
            <w:szCs w:val="20"/>
          </w:rPr>
          <w:t>пунктами 77</w:t>
        </w:r>
      </w:hyperlink>
      <w:r>
        <w:rPr>
          <w:rFonts w:ascii="Times New Roman" w:hAnsi="Times New Roman" w:cs="Times New Roman"/>
          <w:sz w:val="20"/>
          <w:szCs w:val="20"/>
        </w:rPr>
        <w:t xml:space="preserve">, </w:t>
      </w:r>
      <w:hyperlink w:anchor="Par408" w:history="1">
        <w:r>
          <w:rPr>
            <w:rFonts w:ascii="Times New Roman" w:hAnsi="Times New Roman" w:cs="Times New Roman"/>
            <w:color w:val="0000FF"/>
            <w:sz w:val="20"/>
            <w:szCs w:val="20"/>
          </w:rPr>
          <w:t>78</w:t>
        </w:r>
      </w:hyperlink>
      <w:r>
        <w:rPr>
          <w:rFonts w:ascii="Times New Roman" w:hAnsi="Times New Roman" w:cs="Times New Roman"/>
          <w:sz w:val="20"/>
          <w:szCs w:val="20"/>
        </w:rPr>
        <w:t xml:space="preserve"> и </w:t>
      </w:r>
      <w:hyperlink w:anchor="Par411" w:history="1">
        <w:r>
          <w:rPr>
            <w:rFonts w:ascii="Times New Roman" w:hAnsi="Times New Roman" w:cs="Times New Roman"/>
            <w:color w:val="0000FF"/>
            <w:sz w:val="20"/>
            <w:szCs w:val="20"/>
          </w:rPr>
          <w:t>81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уменьшение остаточной стоимости объектов на величину остаточной стоимости объектов, выбывших из эксплуатации, и (или) стоимости объектов, проданных либо отчужденных иным образом регулируемой организацией, которые определяются по данным бухгалтерского учета по состоянию на день выбытия (отчуждения);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уменьшение остаточной стоимости объектов на величину выручки, получаемой от применения надбавок к тарифам, установленных в соответствии с Федеральным </w:t>
      </w:r>
      <w:hyperlink r:id="rId12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основах регулирования тарифов организаций коммунального комплекса", в течение срока их действия;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уменьшение остаточной стоимости на величину амортизации объектов, учтенной в тарифах, за исключением амортизации, которая была направлена на текущий и капитальный ремонт в соответствии с утвержденными производственными программами;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уменьшение остаточной стоимости объектов на величину средств, полученных безвозмездно из бюджетов бюджетной системы Российской Федерации и государственных корпораций, внебюджетных фондов на финансирование строительства, реконструкции и модернизации введенных в эксплуатацию объектов, используемых для обращения с твердыми коммунальными отходами, по данным бухгалтерского учета.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4" w:name="Par388"/>
      <w:bookmarkEnd w:id="34"/>
      <w:r>
        <w:rPr>
          <w:rFonts w:ascii="Times New Roman" w:hAnsi="Times New Roman" w:cs="Times New Roman"/>
          <w:sz w:val="20"/>
          <w:szCs w:val="20"/>
        </w:rPr>
        <w:t xml:space="preserve">72. Первоначальный размер инвестированного капитала регулируемой организации, эксплуатирующей объекты, используемые для обращения с твердыми коммунальными отходами, в </w:t>
      </w:r>
      <w:r>
        <w:rPr>
          <w:rFonts w:ascii="Times New Roman" w:hAnsi="Times New Roman" w:cs="Times New Roman"/>
          <w:sz w:val="20"/>
          <w:szCs w:val="20"/>
        </w:rPr>
        <w:lastRenderedPageBreak/>
        <w:t xml:space="preserve">соответствии с договором аренды муниципального или государственного имущества, концессионным соглашением, соглашением о государственно-частном партнерстве, муниципально-частном партнерстве определяется как стоимость построенных, реконструированных, модернизированных и введенных в эксплуатацию объектов, используемых для обращения с твердыми коммунальными отходами, в течение срока действия соответствующего договора (соглашения) в соответствии с </w:t>
      </w:r>
      <w:hyperlink w:anchor="Par407" w:history="1">
        <w:r>
          <w:rPr>
            <w:rFonts w:ascii="Times New Roman" w:hAnsi="Times New Roman" w:cs="Times New Roman"/>
            <w:color w:val="0000FF"/>
            <w:sz w:val="20"/>
            <w:szCs w:val="20"/>
          </w:rPr>
          <w:t>пунктами 77</w:t>
        </w:r>
      </w:hyperlink>
      <w:r>
        <w:rPr>
          <w:rFonts w:ascii="Times New Roman" w:hAnsi="Times New Roman" w:cs="Times New Roman"/>
          <w:sz w:val="20"/>
          <w:szCs w:val="20"/>
        </w:rPr>
        <w:t xml:space="preserve">, </w:t>
      </w:r>
      <w:hyperlink w:anchor="Par408" w:history="1">
        <w:r>
          <w:rPr>
            <w:rFonts w:ascii="Times New Roman" w:hAnsi="Times New Roman" w:cs="Times New Roman"/>
            <w:color w:val="0000FF"/>
            <w:sz w:val="20"/>
            <w:szCs w:val="20"/>
          </w:rPr>
          <w:t>78</w:t>
        </w:r>
      </w:hyperlink>
      <w:r>
        <w:rPr>
          <w:rFonts w:ascii="Times New Roman" w:hAnsi="Times New Roman" w:cs="Times New Roman"/>
          <w:sz w:val="20"/>
          <w:szCs w:val="20"/>
        </w:rPr>
        <w:t xml:space="preserve"> и </w:t>
      </w:r>
      <w:hyperlink w:anchor="Par411" w:history="1">
        <w:r>
          <w:rPr>
            <w:rFonts w:ascii="Times New Roman" w:hAnsi="Times New Roman" w:cs="Times New Roman"/>
            <w:color w:val="0000FF"/>
            <w:sz w:val="20"/>
            <w:szCs w:val="20"/>
          </w:rPr>
          <w:t>81</w:t>
        </w:r>
      </w:hyperlink>
      <w:r>
        <w:rPr>
          <w:rFonts w:ascii="Times New Roman" w:hAnsi="Times New Roman" w:cs="Times New Roman"/>
          <w:sz w:val="20"/>
          <w:szCs w:val="20"/>
        </w:rPr>
        <w:t xml:space="preserve"> настоящего документа с учетом корректировок, отражающих следующие изменения стоимости таких объектов: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 уменьшение остаточной стоимости объектов на величину выручки, полученной от применения надбавок к тарифам, установленных в соответствии с Федеральным </w:t>
      </w:r>
      <w:hyperlink r:id="rId12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основах регулирования тарифов организаций коммунального комплекса", в течение срока действия соответствующего договора (соглашения);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уменьшение остаточной стоимости объектов на величину их амортизации, учтенной в тарифах в течение срока действия соответствующего договора (соглашения), за исключением амортизации, которая была направлена на текущий и капитальный ремонт в соответствии с утвержденными производственными программами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уменьшение остаточной стоимости объектов на величину средств, полученных безвозмездно из бюджетов бюджетной системы Российской Федерации и государственных корпораций, внебюджетных фондов на финансирование строительства, реконструкции и модернизации введенных в эксплуатацию объектов, в течение срока действия соответствующего договора (соглашения) по данным бухгалтерского учета.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73. Первоначальный размер инвестированного капитала на очередной долгосрочный период регулирования определяется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период регулирования, предусмотренных </w:t>
      </w:r>
      <w:hyperlink w:anchor="Par400" w:history="1">
        <w:r>
          <w:rPr>
            <w:rFonts w:ascii="Times New Roman" w:hAnsi="Times New Roman" w:cs="Times New Roman"/>
            <w:color w:val="0000FF"/>
            <w:sz w:val="20"/>
            <w:szCs w:val="20"/>
          </w:rPr>
          <w:t>пунктом 75</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если в году, предшествующем первому году долгосрочного периода регулирования, произошли указанные в </w:t>
      </w:r>
      <w:hyperlink w:anchor="Par382" w:history="1">
        <w:r>
          <w:rPr>
            <w:rFonts w:ascii="Times New Roman" w:hAnsi="Times New Roman" w:cs="Times New Roman"/>
            <w:color w:val="0000FF"/>
            <w:sz w:val="20"/>
            <w:szCs w:val="20"/>
          </w:rPr>
          <w:t>пунктах 71</w:t>
        </w:r>
      </w:hyperlink>
      <w:r>
        <w:rPr>
          <w:rFonts w:ascii="Times New Roman" w:hAnsi="Times New Roman" w:cs="Times New Roman"/>
          <w:sz w:val="20"/>
          <w:szCs w:val="20"/>
        </w:rPr>
        <w:t xml:space="preserve"> и </w:t>
      </w:r>
      <w:hyperlink w:anchor="Par388" w:history="1">
        <w:r>
          <w:rPr>
            <w:rFonts w:ascii="Times New Roman" w:hAnsi="Times New Roman" w:cs="Times New Roman"/>
            <w:color w:val="0000FF"/>
            <w:sz w:val="20"/>
            <w:szCs w:val="20"/>
          </w:rPr>
          <w:t>72</w:t>
        </w:r>
      </w:hyperlink>
      <w:r>
        <w:rPr>
          <w:rFonts w:ascii="Times New Roman" w:hAnsi="Times New Roman" w:cs="Times New Roman"/>
          <w:sz w:val="20"/>
          <w:szCs w:val="20"/>
        </w:rPr>
        <w:t xml:space="preserve"> настоящего документа изменения, которые не были учтены при установлении первоначального размера инвестированного капитала на первый долгосрочный период регулирования, эти изменения учитываются при корректировке базы инвестированного капитала на второй год долгосрочного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5" w:name="Par394"/>
      <w:bookmarkEnd w:id="35"/>
      <w:r>
        <w:rPr>
          <w:rFonts w:ascii="Times New Roman" w:hAnsi="Times New Roman" w:cs="Times New Roman"/>
          <w:sz w:val="20"/>
          <w:szCs w:val="20"/>
        </w:rPr>
        <w:t>74. База инвестированного капитала на 1 января каждого года долгосрочного периода регулирования определяется в порядке, установленном методическими указаниями, с учетом следующих изменений за предыдущий годовой период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увеличение базы инвестированного капитала на стоимость строительства, реконструкции и модернизации объектов, используемых для обращения с твердыми коммунальными отходами, введенных в эксплуатацию;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уменьшение базы инвестированного капитала на величину учтенных в тарифе средств, обеспечивающих возврат инвестированного капитала;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изменение базы инвестированного капитала, вызванное изменением количества и состава объектов, используемых регулируемой организацией для обращения с твердыми коммунальными отходами, не предусмотренных инвестиционной программой регулируемой организации, осуществленное по согласованию с органом регулирования тарифов, включая приобретение и отчуждение объектов в размере их стоимости, определенной в соответствии с методическими указаниями с учетом остаточной стоимости таких объектов (по данным бухгалтерского учета);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изменение базы инвестированного капитала, вызванное изменением уровня доходности долгосрочных государственных обязательств относительно уровня, учтенного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уменьшение на величину средств, полученных безвозмездно из бюджетов бюджетной системы Российской Федерации, а также средств государственных корпораций, иных внебюджетных фондов, направляемых на финансирование создания объектов, используемых для обращения с твердыми коммунальными отходами, полученных регулируемой организацией в качестве источника финансирования создания, реконструкции и модернизации указанных объектов, введенных в эксплуатацию в соответствии с утвержденной инвестиционной программой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6" w:name="Par400"/>
      <w:bookmarkEnd w:id="36"/>
      <w:r>
        <w:rPr>
          <w:rFonts w:ascii="Times New Roman" w:hAnsi="Times New Roman" w:cs="Times New Roman"/>
          <w:sz w:val="20"/>
          <w:szCs w:val="20"/>
        </w:rPr>
        <w:t xml:space="preserve">75. При переходе к установлению тарифов на товары (работы, услуги) регулируемой организации с применением метода доходности инвестированного капитала полная величина инвестированного капитала определяется в размере, равном полной стоимости объектов, используемых для обращения с твердыми коммунальными отходами, эксплуатируемых этой организацией, определенной по данным </w:t>
      </w:r>
      <w:r>
        <w:rPr>
          <w:rFonts w:ascii="Times New Roman" w:hAnsi="Times New Roman" w:cs="Times New Roman"/>
          <w:sz w:val="20"/>
          <w:szCs w:val="20"/>
        </w:rPr>
        <w:lastRenderedPageBreak/>
        <w:t>бухгалтерского учета по состоянию на 31 декабря 2015 г., с учетом корректировок, отражающих следующие изменения полной стоимости объектов, используемых для обработки, обезвреживания, захоронения и энергетической утилизации твердых коммунальных отходов, за период с 31 декабря 2015 г. по 31 декабря (включительно) года, предшествующего началу первого долгосрочного периода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28"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увеличение полной величины инвестированного капитала на стоимость построенных, реконструированных, модернизированных и введенных в эксплуатацию в рамках реализации инвестиционной программы регулируемой организации объектов и (или) приобретенных объектов;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уменьшение полной величины инвестированного капитала на полную стоимость объектов, выбывших из эксплуатации либо отчужденных (проданных) регулируемой организацией.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7" w:name="Par404"/>
      <w:bookmarkEnd w:id="37"/>
      <w:r>
        <w:rPr>
          <w:rFonts w:ascii="Times New Roman" w:hAnsi="Times New Roman" w:cs="Times New Roman"/>
          <w:sz w:val="20"/>
          <w:szCs w:val="20"/>
        </w:rPr>
        <w:t>76. Полная величина инвестированного капитала на 1 января каждого года долгосрочного периода регулирования определяется в порядке, установленном методическими указаниями, с учетом следующих изменений полной стоимости объектов, используемых для обращения с твердыми коммунальными отходами, за предшествующий год:</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увеличение полной величины инвестированного капитала на стоимость строительства (реконструкции, модернизации) объектов, введенных в эксплуатацию в течение предшествующего года;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уменьшение полной величины инвестированного капитала на полную стоимость объектов, выбывших из эксплуатации либо отчужденных (проданных) регулируемой организацией в течение предшествующего года.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8" w:name="Par407"/>
      <w:bookmarkEnd w:id="38"/>
      <w:r>
        <w:rPr>
          <w:rFonts w:ascii="Times New Roman" w:hAnsi="Times New Roman" w:cs="Times New Roman"/>
          <w:sz w:val="20"/>
          <w:szCs w:val="20"/>
        </w:rPr>
        <w:t>77. Стоимость построенных, реконструированных и модернизированных объектов, используемых для обращения с твердыми коммунальными отходами, включается в базу инвестированного капитала с даты ввода соответствующих объектов в эксплуатацию в объеме, предусмотренном инвестиционной программой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39" w:name="Par408"/>
      <w:bookmarkEnd w:id="39"/>
      <w:r>
        <w:rPr>
          <w:rFonts w:ascii="Times New Roman" w:hAnsi="Times New Roman" w:cs="Times New Roman"/>
          <w:sz w:val="20"/>
          <w:szCs w:val="20"/>
        </w:rPr>
        <w:t>78. Стоимость построенных, реконструированных, модернизированных и введенных в эксплуатацию объектов, используемых для обращения с твердыми коммунальными отходами, учитываемая при определении первоначальной стоимости инвестированного капитала, определяется в соответствии с утвержденными инвестиционными программами регулируемых организаций. Стоимость построенных, реконструированных, модернизированных объектов не включает в себя учтенные при установлении тарифов проценты по займам и кредитам, полученные регулируемой организацией для финансирования строительства, реконструкции и модернизации таких объектов. Стоимость приобретенных объектов, учитываемая при определении первоначальной стоимости инвестированного капитала, определяется по цене покупки, указанной в договоре.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79. Расходы регулируемой организации на строительство, реконструкцию и модернизацию объектов, используемых для обращения с твердыми коммунальными отходами, направленные на ликвидацию последствий аварий, чрезвычайных ситуаций и стихийных бедствий, учитываются органом регулирования тарифов при определении базы инвестированного капитала (по данным бухгалтерского учета) в объеме, определенном органом регулирования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80. При определении первоначального размера инвестированного капитала, полного размера инвестированного капитала и базы инвестированного капитала не учитываются стоимость объектов незавершенного строительства, стоимость объектов культурно-бытового назначения, легковых автомобилей, а также зданий, сооружений и иных объектов движимого и недвижимого имущества, не предназначенных непосредственно для осуществления регулируемых видов деятельности в области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0" w:name="Par411"/>
      <w:bookmarkEnd w:id="40"/>
      <w:r>
        <w:rPr>
          <w:rFonts w:ascii="Times New Roman" w:hAnsi="Times New Roman" w:cs="Times New Roman"/>
          <w:sz w:val="20"/>
          <w:szCs w:val="20"/>
        </w:rPr>
        <w:t>81. Стоимость объектов, используемых для обращения с твердыми коммунальными отходами,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полный размер инвестированного капитала и базу инвестированного капитала в размере выкупной цены, установленной в договоре лизинга, но не выше стоимости таких объектов, рассчитанной в соответствии с укрупненными сметными нормативами.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82. Учет инвестированного капитала ведется регулируемой организацией отдельно от бухгалтерского и налогового учета стоимости объектов, используемых для обращения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83. Регулируемая организация представляет в орган регулирования тарифов ежеквартально, не позднее 10-го числа месяца, следующего за отчетным кварталом, а также ежегодно, не позднее 1 февраля </w:t>
      </w:r>
      <w:r>
        <w:rPr>
          <w:rFonts w:ascii="Times New Roman" w:hAnsi="Times New Roman" w:cs="Times New Roman"/>
          <w:sz w:val="20"/>
          <w:szCs w:val="20"/>
        </w:rPr>
        <w:lastRenderedPageBreak/>
        <w:t>года, следующего за отчетным годом, информацию об определении базы инвестированного капитала по форме, утверждаемой Федеральной антимонопольной службой.</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X. Расчет нормы доходности инвестированного</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капитала при регулировании тарифов методом доходности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инвестированного капитала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84. Расчет нормы доходности инвестированного капитала, минимальной нормы доходности инвестированного капитала осуществляется в соответствии с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85. Норма доходности инвестированного капитала определяется органом регулирования тарифов на уровне не ниже минимальной </w:t>
      </w:r>
      <w:hyperlink r:id="rId129" w:history="1">
        <w:r>
          <w:rPr>
            <w:rFonts w:ascii="Times New Roman" w:hAnsi="Times New Roman" w:cs="Times New Roman"/>
            <w:color w:val="0000FF"/>
            <w:sz w:val="20"/>
            <w:szCs w:val="20"/>
          </w:rPr>
          <w:t>нормы</w:t>
        </w:r>
      </w:hyperlink>
      <w:r>
        <w:rPr>
          <w:rFonts w:ascii="Times New Roman" w:hAnsi="Times New Roman" w:cs="Times New Roman"/>
          <w:sz w:val="20"/>
          <w:szCs w:val="20"/>
        </w:rPr>
        <w:t xml:space="preserve"> доходности, устанавливаемой Федеральной антимонопольной службой с учетом предложенного Министерством экономического развития Российской Федерации значения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86. Норма доходности инвестированного капитала рассчитывается на основании следующих параметров: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стоимость заемного капитала, которая рассчитывается как сумма безрисковой ставки и премии за риск инвестирования в долговые обязательства регулируемых организаций, размер которой определяется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стоимость собственного капитала, которая рассчитывается как сумма безрисковой ставки и премии за риск инвестирования в собственный капитал регулируемых организаций, размер которой определяется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соотношение заемного и собственного капитала регулируемых организаций, устанавливаемое в соответствии с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87. Органы регулирования тарифов устанавливают норму доходности инвестированного капитала путем увеличения минимальной нормы доходности инвестированного капитала на региональную премию за риск инвестирования, которая, в свою очередь, определяется в соответствии с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88. Норма доходности инвестированного капитала регулируемой организации на первые 2 года первого долгосрочного периода регулирования устанавливается отдельно для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в порядке, установленном методическими указаниями.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Начиная с 3-го года первого долгосрочного периода регулирования норма доходности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устанавливается в виде одной ставки.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outlineLvl w:val="1"/>
        <w:rPr>
          <w:rFonts w:ascii="Times New Roman" w:hAnsi="Times New Roman" w:cs="Times New Roman"/>
          <w:b/>
          <w:bCs/>
          <w:sz w:val="20"/>
          <w:szCs w:val="20"/>
        </w:rPr>
      </w:pPr>
      <w:r>
        <w:rPr>
          <w:rFonts w:ascii="Times New Roman" w:hAnsi="Times New Roman" w:cs="Times New Roman"/>
          <w:b/>
          <w:bCs/>
          <w:sz w:val="20"/>
          <w:szCs w:val="20"/>
        </w:rPr>
        <w:t>XI. Особенности расчета необходимой валовой выручки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регионального оператора</w:t>
      </w:r>
    </w:p>
    <w:p w:rsidR="005F7112" w:rsidRDefault="005F7112" w:rsidP="005F711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ред. </w:t>
      </w:r>
      <w:hyperlink r:id="rId130"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15.09.2018 N 1094)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bookmarkStart w:id="41" w:name="Par434"/>
      <w:bookmarkEnd w:id="41"/>
      <w:r>
        <w:rPr>
          <w:rFonts w:ascii="Times New Roman" w:hAnsi="Times New Roman" w:cs="Times New Roman"/>
          <w:sz w:val="20"/>
          <w:szCs w:val="20"/>
        </w:rPr>
        <w:t>89. Необходимая валовая выручка регионального оператора не может превышать прогнозную необходимую валовую выручку регионального оператора по организации деятельности по обращению с твердыми коммунальными отходами, содержащуюся в заявке на участие в конкурсном отборе региональных операторов победителя такого конкурсного отбора на соответствующий год, за исключением следующих случаев: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изменение законодательства Российской Федерации, существенно влияющее на расходы, учитываемые при установлении тарифов (более 10 процентов);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б) корректировка территориальной схемы, влияющая на расходы, учитываемые при установлении тарифов, в связи с изменением схемы потоков твердых коммунальных отходов и объема (массы) твердых коммунальных отходов, со строительством и (или) реконструкцией объектов, используемых для обращения с твердыми коммунальными отходами, а также в связи с включением в территориальную схему </w:t>
      </w:r>
      <w:r>
        <w:rPr>
          <w:rFonts w:ascii="Times New Roman" w:hAnsi="Times New Roman" w:cs="Times New Roman"/>
          <w:sz w:val="20"/>
          <w:szCs w:val="20"/>
        </w:rPr>
        <w:lastRenderedPageBreak/>
        <w:t>данных о количестве контейнеров и бункеров, планируемых к приобретению региональным оператором за счет средств, учитываемых при установлении единого тарифа на услугу регионального оператора по обращению с твердыми коммунальными отходами;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3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увеличение индекса потребительских цен, определенного на основании параметров прогноза социально-экономического развития Российской Федерации на очередной период регулирования, по сравнению с индексом потребительских цен, использованным регулируемой организацией при расчете прогнозной необходимой валовой выручки регионального оператора по организации деятельности по обращению с твердыми коммунальными отходами, произведенном в соответствии с методическими указаниями на соответствующий год регулирования тарифов, содержащейся в заявке на участие в конкурсном отборе региональных операторов победителя такого конкурсного отбора.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"в" введен </w:t>
      </w:r>
      <w:hyperlink r:id="rId132"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02.10.2023 N 1624)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89 в ред. </w:t>
      </w:r>
      <w:hyperlink r:id="rId133"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15.09.2018 N 1094)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89(1). В случае присвоения статуса регионального оператора и заключения соглашения об организации деятельности по обращению с твердыми коммунальными отходами в порядке, предусмотренном </w:t>
      </w:r>
      <w:hyperlink r:id="rId134" w:history="1">
        <w:r>
          <w:rPr>
            <w:rFonts w:ascii="Times New Roman" w:hAnsi="Times New Roman" w:cs="Times New Roman"/>
            <w:color w:val="0000FF"/>
            <w:sz w:val="20"/>
            <w:szCs w:val="20"/>
          </w:rPr>
          <w:t>пунктом 6 статьи 29.1</w:t>
        </w:r>
      </w:hyperlink>
      <w:r>
        <w:rPr>
          <w:rFonts w:ascii="Times New Roman" w:hAnsi="Times New Roman" w:cs="Times New Roman"/>
          <w:sz w:val="20"/>
          <w:szCs w:val="20"/>
        </w:rPr>
        <w:t xml:space="preserve"> Федерального закона "Об отходах производства и потребления", в случае признания конкурсного отбора регионального оператора несостоявшимся необходимая валовая выручка регионального оператора не может превышать прогнозную необходимую валовую выручку регионального оператора по организации деятельности по обращению с твердыми коммунальными отходами на соответствующий год, учтенную организатором конкурсного отбора при формировании максимально допустимой величины приведенной стоимости услуги регионального оператора.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присвоения статуса регионального оператора и заключения соглашения об организации деятельности по обращению с твердыми коммунальными отходами в порядке, предусмотренном </w:t>
      </w:r>
      <w:hyperlink r:id="rId135" w:history="1">
        <w:r>
          <w:rPr>
            <w:rFonts w:ascii="Times New Roman" w:hAnsi="Times New Roman" w:cs="Times New Roman"/>
            <w:color w:val="0000FF"/>
            <w:sz w:val="20"/>
            <w:szCs w:val="20"/>
          </w:rPr>
          <w:t>пунктом 6 статьи 29.1</w:t>
        </w:r>
      </w:hyperlink>
      <w:r>
        <w:rPr>
          <w:rFonts w:ascii="Times New Roman" w:hAnsi="Times New Roman" w:cs="Times New Roman"/>
          <w:sz w:val="20"/>
          <w:szCs w:val="20"/>
        </w:rPr>
        <w:t xml:space="preserve"> Федерального закона "Об отходах производства и потребления", в случае досрочного прекращения деятельности регионального оператора, в том числе его отказа от осуществления деятельности, в отношении организации, получившей статус регионального оператора без проведения конкурсного отбора, до утверждения в установленном порядке тарифов применяются единые тарифы, установленные для регионального оператора, досрочно прекратившего деятельность.</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89(1) введен </w:t>
      </w:r>
      <w:hyperlink r:id="rId136"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2" w:name="Par444"/>
      <w:bookmarkEnd w:id="42"/>
      <w:r>
        <w:rPr>
          <w:rFonts w:ascii="Times New Roman" w:hAnsi="Times New Roman" w:cs="Times New Roman"/>
          <w:sz w:val="20"/>
          <w:szCs w:val="20"/>
        </w:rPr>
        <w:t>90.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транспортирование твердых коммунальных отходов, а также расходов 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 уборку мест погрузки твердых коммунальных отходов и расходов, связанных с предоставлением безотзывной банковской гарантии в обеспечение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Постановлений Правительства РФ от 25.07.2018 </w:t>
      </w:r>
      <w:hyperlink r:id="rId137" w:history="1">
        <w:r>
          <w:rPr>
            <w:rFonts w:ascii="Times New Roman" w:hAnsi="Times New Roman" w:cs="Times New Roman"/>
            <w:color w:val="0000FF"/>
            <w:sz w:val="20"/>
            <w:szCs w:val="20"/>
          </w:rPr>
          <w:t>N 867</w:t>
        </w:r>
      </w:hyperlink>
      <w:r>
        <w:rPr>
          <w:rFonts w:ascii="Times New Roman" w:hAnsi="Times New Roman" w:cs="Times New Roman"/>
          <w:sz w:val="20"/>
          <w:szCs w:val="20"/>
        </w:rPr>
        <w:t xml:space="preserve">, от 15.09.2018 </w:t>
      </w:r>
      <w:hyperlink r:id="rId138" w:history="1">
        <w:r>
          <w:rPr>
            <w:rFonts w:ascii="Times New Roman" w:hAnsi="Times New Roman" w:cs="Times New Roman"/>
            <w:color w:val="0000FF"/>
            <w:sz w:val="20"/>
            <w:szCs w:val="20"/>
          </w:rPr>
          <w:t>N 1094</w:t>
        </w:r>
      </w:hyperlink>
      <w:r>
        <w:rPr>
          <w:rFonts w:ascii="Times New Roman" w:hAnsi="Times New Roman" w:cs="Times New Roman"/>
          <w:sz w:val="20"/>
          <w:szCs w:val="20"/>
        </w:rPr>
        <w:t xml:space="preserve">, от 15.12.2018 </w:t>
      </w:r>
      <w:hyperlink r:id="rId139" w:history="1">
        <w:r>
          <w:rPr>
            <w:rFonts w:ascii="Times New Roman" w:hAnsi="Times New Roman" w:cs="Times New Roman"/>
            <w:color w:val="0000FF"/>
            <w:sz w:val="20"/>
            <w:szCs w:val="20"/>
          </w:rPr>
          <w:t>N 1572</w:t>
        </w:r>
      </w:hyperlink>
      <w:r>
        <w:rPr>
          <w:rFonts w:ascii="Times New Roman" w:hAnsi="Times New Roman" w:cs="Times New Roman"/>
          <w:sz w:val="20"/>
          <w:szCs w:val="20"/>
        </w:rPr>
        <w:t xml:space="preserve">, от 02.12.2021 </w:t>
      </w:r>
      <w:hyperlink r:id="rId140" w:history="1">
        <w:r>
          <w:rPr>
            <w:rFonts w:ascii="Times New Roman" w:hAnsi="Times New Roman" w:cs="Times New Roman"/>
            <w:color w:val="0000FF"/>
            <w:sz w:val="20"/>
            <w:szCs w:val="20"/>
          </w:rPr>
          <w:t>N 2181</w:t>
        </w:r>
      </w:hyperlink>
      <w:r>
        <w:rPr>
          <w:rFonts w:ascii="Times New Roman" w:hAnsi="Times New Roman" w:cs="Times New Roman"/>
          <w:sz w:val="20"/>
          <w:szCs w:val="20"/>
        </w:rPr>
        <w:t xml:space="preserve">, от 24.10.2022 </w:t>
      </w:r>
      <w:hyperlink r:id="rId141" w:history="1">
        <w:r>
          <w:rPr>
            <w:rFonts w:ascii="Times New Roman" w:hAnsi="Times New Roman" w:cs="Times New Roman"/>
            <w:color w:val="0000FF"/>
            <w:sz w:val="20"/>
            <w:szCs w:val="20"/>
          </w:rPr>
          <w:t>N 1889</w:t>
        </w:r>
      </w:hyperlink>
      <w:r>
        <w:rPr>
          <w:rFonts w:ascii="Times New Roman" w:hAnsi="Times New Roman" w:cs="Times New Roman"/>
          <w:sz w:val="20"/>
          <w:szCs w:val="20"/>
        </w:rPr>
        <w:t>)</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3" w:name="Par446"/>
      <w:bookmarkEnd w:id="43"/>
      <w:r>
        <w:rPr>
          <w:rFonts w:ascii="Times New Roman" w:hAnsi="Times New Roman" w:cs="Times New Roman"/>
          <w:sz w:val="20"/>
          <w:szCs w:val="20"/>
        </w:rPr>
        <w:t>Расходы на приобретение и содержание контейнеров и бункеров определяются в размере, не превышающем 1 процента необходимой валовой выручки регионального оператора на очередной период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4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Определение расходов в размере, превышающем указанный в </w:t>
      </w:r>
      <w:hyperlink w:anchor="Par446" w:history="1">
        <w:r>
          <w:rPr>
            <w:rFonts w:ascii="Times New Roman" w:hAnsi="Times New Roman" w:cs="Times New Roman"/>
            <w:color w:val="0000FF"/>
            <w:sz w:val="20"/>
            <w:szCs w:val="20"/>
          </w:rPr>
          <w:t>абзаце втором</w:t>
        </w:r>
      </w:hyperlink>
      <w:r>
        <w:rPr>
          <w:rFonts w:ascii="Times New Roman" w:hAnsi="Times New Roman" w:cs="Times New Roman"/>
          <w:sz w:val="20"/>
          <w:szCs w:val="20"/>
        </w:rPr>
        <w:t xml:space="preserve"> настоящего пункта размер, осуществляется на основе данных, предусмотренных </w:t>
      </w:r>
      <w:hyperlink w:anchor="Par126" w:history="1">
        <w:r>
          <w:rPr>
            <w:rFonts w:ascii="Times New Roman" w:hAnsi="Times New Roman" w:cs="Times New Roman"/>
            <w:color w:val="0000FF"/>
            <w:sz w:val="20"/>
            <w:szCs w:val="20"/>
          </w:rPr>
          <w:t>пунктом 14</w:t>
        </w:r>
      </w:hyperlink>
      <w:r>
        <w:rPr>
          <w:rFonts w:ascii="Times New Roman" w:hAnsi="Times New Roman" w:cs="Times New Roman"/>
          <w:sz w:val="20"/>
          <w:szCs w:val="20"/>
        </w:rPr>
        <w:t xml:space="preserve"> настоящего документа, и допускается по заявлению регионального оператора при одновременном соблюдении следующих условий:</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3"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территориальная схема содержит данные о необходимом количестве контейнеров и бункеров в соответствующей зоне деятельности регионального оператора, данные о количестве контейнеров и бункеров, планируемых к приобретению региональным оператором по годам, а также сведения об изменении прогнозных значений предельных тарифов в области обращения с твердыми коммунальными отходами, связанном с включением планируемых расходов регионального оператора на приобретение и содержание таких контейнеров и бункеров в необходимую валовую выручку регионального оператора;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соглашением об организации деятельности по обращению с твердыми коммунальными отходами, заключенным исполнительным органом субъекта Российской Федерации и региональным оператором (в том числе в случае внесения в такое соглашение соответствующих изменений), предусмотрена обязанность регионального оператора передать находящиеся в его собственности контейнеры и бункеры, приобретенные за счет средств, учтенных при установлении единого тарифа на услугу регионального оператора по обращению с твердыми коммунальными отходами, в собственность органов местного самоуправления муниципальных образований, на территории которых расположены места (площадки) накопления твердых коммунальных отходов, оборудованные такими контейнерами и бункерами, в случае лишения юридического лица статуса регионального оператора, прекращения деятельности, в том числе в случае его отказа от осуществления деятельности.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5"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 в ред. </w:t>
      </w:r>
      <w:hyperlink r:id="rId146"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24.10.2022 N 1889)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на лизинговые платежи в отношении контейнеров и бункеров определяются органом регулирования тарифов в размере, не превышающем экономически обоснованный размер такой платы и (или) платежа, с учетом положений </w:t>
      </w:r>
      <w:hyperlink w:anchor="Par244" w:history="1">
        <w:r>
          <w:rPr>
            <w:rFonts w:ascii="Times New Roman" w:hAnsi="Times New Roman" w:cs="Times New Roman"/>
            <w:color w:val="0000FF"/>
            <w:sz w:val="20"/>
            <w:szCs w:val="20"/>
          </w:rPr>
          <w:t>абзаца пятого пункта 35</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7"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02.12.2021 N 2181)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Расходы на уборку мест погрузки твердых коммунальных отходов не могут превышать сметную стоимость погрузочных работ, определенную с применением сметных нормативов, сведения о которых включены в федеральный реестр сметных нормативов, умноженную на 1 процент общего объема и (или) массы твердых коммунальных отходов, в отношении которых осуществляются погрузочные работы. В случае отсутствия соответствующих сметных нормативов допускается использовать данные о стоимости работ, аналогичных по назначению.</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15.12.2018 N 1572)</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связанные с предоставлением безотзывной банковской гарантии в обеспечение исполнения обязательств по соглашению, указанному в </w:t>
      </w:r>
      <w:hyperlink w:anchor="Par444" w:history="1">
        <w:r>
          <w:rPr>
            <w:rFonts w:ascii="Times New Roman" w:hAnsi="Times New Roman" w:cs="Times New Roman"/>
            <w:color w:val="0000FF"/>
            <w:sz w:val="20"/>
            <w:szCs w:val="20"/>
          </w:rPr>
          <w:t>абзаце первом</w:t>
        </w:r>
      </w:hyperlink>
      <w:r>
        <w:rPr>
          <w:rFonts w:ascii="Times New Roman" w:hAnsi="Times New Roman" w:cs="Times New Roman"/>
          <w:sz w:val="20"/>
          <w:szCs w:val="20"/>
        </w:rPr>
        <w:t xml:space="preserve"> настоящего пункта, определяются в размере, не превышающем 2 процентов необходимой валовой выручки регионального оператора на очередной период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4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15.12.2018 N 1572)</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расходы на транспортирование твердых коммунальных отходов включаются расходы на транспортирование твердых коммунальных отходов, предусмотренные схемой потоков твердых коммунальных отходов, содержащейся в территориальной схеме, в том числе от мест (площадок) накопления твердых коммунальных отходов, определенных договором на оказание услуг по обращению с твердыми коммунальными отходами, до объектов, используемых для обработки, обезвреживания и размещения твердых коммунальных отходов, включенных в соответствии с </w:t>
      </w:r>
      <w:hyperlink r:id="rId150" w:history="1">
        <w:r>
          <w:rPr>
            <w:rFonts w:ascii="Times New Roman" w:hAnsi="Times New Roman" w:cs="Times New Roman"/>
            <w:color w:val="0000FF"/>
            <w:sz w:val="20"/>
            <w:szCs w:val="20"/>
          </w:rPr>
          <w:t>пунктом 8 статьи 29.1</w:t>
        </w:r>
      </w:hyperlink>
      <w:r>
        <w:rPr>
          <w:rFonts w:ascii="Times New Roman" w:hAnsi="Times New Roman" w:cs="Times New Roman"/>
          <w:sz w:val="20"/>
          <w:szCs w:val="20"/>
        </w:rPr>
        <w:t xml:space="preserve"> Федерального закона "Об отходах производства и потребления" в перечень объектов размещения твердых коммунальных отходов на территории субъекта Российской Федерации, а также от объектов, используемых для обработки твердых коммунальных отходов, до объектов, используемых для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51"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Экономически обоснованный размер расходов на транспортирование твердых коммунальных отходов, учитываемый в необходимой валовой выручке регионального оператора, определяется органом регулирования в соответствии с </w:t>
      </w:r>
      <w:hyperlink r:id="rId152"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w:t>
      </w:r>
      <w:hyperlink w:anchor="Par119" w:history="1">
        <w:r>
          <w:rPr>
            <w:rFonts w:ascii="Times New Roman" w:hAnsi="Times New Roman" w:cs="Times New Roman"/>
            <w:color w:val="0000FF"/>
            <w:sz w:val="20"/>
            <w:szCs w:val="20"/>
          </w:rPr>
          <w:t>пунктами 12</w:t>
        </w:r>
      </w:hyperlink>
      <w:r>
        <w:rPr>
          <w:rFonts w:ascii="Times New Roman" w:hAnsi="Times New Roman" w:cs="Times New Roman"/>
          <w:sz w:val="20"/>
          <w:szCs w:val="20"/>
        </w:rPr>
        <w:t xml:space="preserve">, </w:t>
      </w:r>
      <w:hyperlink w:anchor="Par126"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и </w:t>
      </w:r>
      <w:hyperlink w:anchor="Par466" w:history="1">
        <w:r>
          <w:rPr>
            <w:rFonts w:ascii="Times New Roman" w:hAnsi="Times New Roman" w:cs="Times New Roman"/>
            <w:color w:val="0000FF"/>
            <w:sz w:val="20"/>
            <w:szCs w:val="20"/>
          </w:rPr>
          <w:t>90(1)</w:t>
        </w:r>
      </w:hyperlink>
      <w:r>
        <w:rPr>
          <w:rFonts w:ascii="Times New Roman" w:hAnsi="Times New Roman" w:cs="Times New Roman"/>
          <w:sz w:val="20"/>
          <w:szCs w:val="20"/>
        </w:rPr>
        <w:t xml:space="preserve"> - </w:t>
      </w:r>
      <w:hyperlink w:anchor="Par480" w:history="1">
        <w:r>
          <w:rPr>
            <w:rFonts w:ascii="Times New Roman" w:hAnsi="Times New Roman" w:cs="Times New Roman"/>
            <w:color w:val="0000FF"/>
            <w:sz w:val="20"/>
            <w:szCs w:val="20"/>
          </w:rPr>
          <w:t>90(3)</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53"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Расходы на лизинговые платежи в отношении транспортных средств определяются органом регулирования тарифов в размере, не превышающем экономически обоснованный размер такого платежа, рассчитываемый исходя из принципа возмещения лизингодателю амортизации, размер которой определяется в соответствии с </w:t>
      </w:r>
      <w:hyperlink w:anchor="Par231" w:history="1">
        <w:r>
          <w:rPr>
            <w:rFonts w:ascii="Times New Roman" w:hAnsi="Times New Roman" w:cs="Times New Roman"/>
            <w:color w:val="0000FF"/>
            <w:sz w:val="20"/>
            <w:szCs w:val="20"/>
          </w:rPr>
          <w:t>пунктом 34</w:t>
        </w:r>
      </w:hyperlink>
      <w:r>
        <w:rPr>
          <w:rFonts w:ascii="Times New Roman" w:hAnsi="Times New Roman" w:cs="Times New Roman"/>
          <w:sz w:val="20"/>
          <w:szCs w:val="20"/>
        </w:rPr>
        <w:t xml:space="preserve">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54"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4" w:name="Par466"/>
      <w:bookmarkEnd w:id="44"/>
      <w:r>
        <w:rPr>
          <w:rFonts w:ascii="Times New Roman" w:hAnsi="Times New Roman" w:cs="Times New Roman"/>
          <w:sz w:val="20"/>
          <w:szCs w:val="20"/>
        </w:rPr>
        <w:t xml:space="preserve">90(1). Расходы на транспортирование твердых коммунальных отходов, в том числе цена предмета аукциона, проводимого в соответствии с </w:t>
      </w:r>
      <w:hyperlink r:id="rId155"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проведения торгов, по результатам которых формируются цены на услуги по транспортированию твердых коммунальных отходов для регионального оператора, утвержденными постановлением Правительства Российской Федерации от 3 ноября 2016 г. N 1133 "Об утверждении Правил проведения торгов, по результатам которых формируются цены на услуги </w:t>
      </w:r>
      <w:r>
        <w:rPr>
          <w:rFonts w:ascii="Times New Roman" w:hAnsi="Times New Roman" w:cs="Times New Roman"/>
          <w:sz w:val="20"/>
          <w:szCs w:val="20"/>
        </w:rPr>
        <w:lastRenderedPageBreak/>
        <w:t>по транспортированию твердых коммунальных отходов для регионального оператора" (далее - Правила проведения торгов), определяются с учетом расстояния транспортирования твердых коммунальных отходов в соответствии с территориальной схемой, утвержденной в установленном порядке, и планируемого количества транспортируемых твердых коммунальных отходов как сумма планируемых на очередной период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5" w:name="Par467"/>
      <w:bookmarkEnd w:id="45"/>
      <w:r>
        <w:rPr>
          <w:rFonts w:ascii="Times New Roman" w:hAnsi="Times New Roman" w:cs="Times New Roman"/>
          <w:sz w:val="20"/>
          <w:szCs w:val="20"/>
        </w:rPr>
        <w:t>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расходов на топливо и горюче-смазочные материалы для транспортных средств, используемых для транспортирования твердых коммунальных отходов;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6" w:name="Par469"/>
      <w:bookmarkEnd w:id="46"/>
      <w:r>
        <w:rPr>
          <w:rFonts w:ascii="Times New Roman" w:hAnsi="Times New Roman" w:cs="Times New Roman"/>
          <w:sz w:val="20"/>
          <w:szCs w:val="20"/>
        </w:rPr>
        <w:t>в) расходов на сырье и материалы для текущего технического обслуживания транспортных средств, используемых для транспортирования твердых коммунальных отходов,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 ремонтных расходов и расходов на техническое обслуживание (за исключением расходов, предусмотренных </w:t>
      </w:r>
      <w:hyperlink w:anchor="Par469" w:history="1">
        <w:r>
          <w:rPr>
            <w:rFonts w:ascii="Times New Roman" w:hAnsi="Times New Roman" w:cs="Times New Roman"/>
            <w:color w:val="0000FF"/>
            <w:sz w:val="20"/>
            <w:szCs w:val="20"/>
          </w:rPr>
          <w:t>подпунктом "в"</w:t>
        </w:r>
      </w:hyperlink>
      <w:r>
        <w:rPr>
          <w:rFonts w:ascii="Times New Roman" w:hAnsi="Times New Roman" w:cs="Times New Roman"/>
          <w:sz w:val="20"/>
          <w:szCs w:val="20"/>
        </w:rPr>
        <w:t xml:space="preserve"> настоящего пункта) в отношении транспортных средств, используемых для транспортирования твердых коммунальных отходов, за исключением расходов на оплату труда и отчисления на социальные нужды ремонтного персонала;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 расходов на амортизацию транспортных средств, используемых для транспортирования твердых коммунальных отходов,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w:t>
      </w:r>
      <w:hyperlink r:id="rId156" w:history="1">
        <w:r>
          <w:rPr>
            <w:rFonts w:ascii="Times New Roman" w:hAnsi="Times New Roman" w:cs="Times New Roman"/>
            <w:color w:val="0000FF"/>
            <w:sz w:val="20"/>
            <w:szCs w:val="20"/>
          </w:rPr>
          <w:t>Классификацией</w:t>
        </w:r>
      </w:hyperlink>
      <w:r>
        <w:rPr>
          <w:rFonts w:ascii="Times New Roman" w:hAnsi="Times New Roman" w:cs="Times New Roman"/>
          <w:sz w:val="20"/>
          <w:szCs w:val="20"/>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7" w:name="Par472"/>
      <w:bookmarkEnd w:id="47"/>
      <w:r>
        <w:rPr>
          <w:rFonts w:ascii="Times New Roman" w:hAnsi="Times New Roman" w:cs="Times New Roman"/>
          <w:sz w:val="20"/>
          <w:szCs w:val="20"/>
        </w:rPr>
        <w:t>е) расходов на арендную плату и лизинговые платежи в отношении транспортных средств, используемых для транспортирования твердых коммунальных отходов, определяемых исходя из принципа 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8" w:name="Par473"/>
      <w:bookmarkEnd w:id="48"/>
      <w:r>
        <w:rPr>
          <w:rFonts w:ascii="Times New Roman" w:hAnsi="Times New Roman" w:cs="Times New Roman"/>
          <w:sz w:val="20"/>
          <w:szCs w:val="20"/>
        </w:rPr>
        <w:t xml:space="preserve">ж) прочих производственных расходов, размер которых не может превышать 5 процентов суммы расходов, указанных в </w:t>
      </w:r>
      <w:hyperlink w:anchor="Par467" w:history="1">
        <w:r>
          <w:rPr>
            <w:rFonts w:ascii="Times New Roman" w:hAnsi="Times New Roman" w:cs="Times New Roman"/>
            <w:color w:val="0000FF"/>
            <w:sz w:val="20"/>
            <w:szCs w:val="20"/>
          </w:rPr>
          <w:t>подпунктах "а"</w:t>
        </w:r>
      </w:hyperlink>
      <w:r>
        <w:rPr>
          <w:rFonts w:ascii="Times New Roman" w:hAnsi="Times New Roman" w:cs="Times New Roman"/>
          <w:sz w:val="20"/>
          <w:szCs w:val="20"/>
        </w:rPr>
        <w:t xml:space="preserve"> - </w:t>
      </w:r>
      <w:hyperlink w:anchor="Par472" w:history="1">
        <w:r>
          <w:rPr>
            <w:rFonts w:ascii="Times New Roman" w:hAnsi="Times New Roman" w:cs="Times New Roman"/>
            <w:color w:val="0000FF"/>
            <w:sz w:val="20"/>
            <w:szCs w:val="20"/>
          </w:rPr>
          <w:t>"е"</w:t>
        </w:r>
      </w:hyperlink>
      <w:r>
        <w:rPr>
          <w:rFonts w:ascii="Times New Roman" w:hAnsi="Times New Roman" w:cs="Times New Roman"/>
          <w:sz w:val="20"/>
          <w:szCs w:val="20"/>
        </w:rPr>
        <w:t xml:space="preserve"> настоящего пункта;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49" w:name="Par474"/>
      <w:bookmarkEnd w:id="49"/>
      <w:r>
        <w:rPr>
          <w:rFonts w:ascii="Times New Roman" w:hAnsi="Times New Roman" w:cs="Times New Roman"/>
          <w:sz w:val="20"/>
          <w:szCs w:val="20"/>
        </w:rPr>
        <w:t xml:space="preserve">з) административных расходов (за исключением предусмотренных </w:t>
      </w:r>
      <w:hyperlink w:anchor="Par467" w:history="1">
        <w:r>
          <w:rPr>
            <w:rFonts w:ascii="Times New Roman" w:hAnsi="Times New Roman" w:cs="Times New Roman"/>
            <w:color w:val="0000FF"/>
            <w:sz w:val="20"/>
            <w:szCs w:val="20"/>
          </w:rPr>
          <w:t>подпунктом "а"</w:t>
        </w:r>
      </w:hyperlink>
      <w:r>
        <w:rPr>
          <w:rFonts w:ascii="Times New Roman" w:hAnsi="Times New Roman" w:cs="Times New Roman"/>
          <w:sz w:val="20"/>
          <w:szCs w:val="20"/>
        </w:rPr>
        <w:t xml:space="preserve"> настоящего пункта расходов на оплату труда и отчисления на социальные нужды административно-управленческого персонала и расходов, предусмотренных </w:t>
      </w:r>
      <w:hyperlink w:anchor="Par475" w:history="1">
        <w:r>
          <w:rPr>
            <w:rFonts w:ascii="Times New Roman" w:hAnsi="Times New Roman" w:cs="Times New Roman"/>
            <w:color w:val="0000FF"/>
            <w:sz w:val="20"/>
            <w:szCs w:val="20"/>
          </w:rPr>
          <w:t>подпунктом "и"</w:t>
        </w:r>
      </w:hyperlink>
      <w:r>
        <w:rPr>
          <w:rFonts w:ascii="Times New Roman" w:hAnsi="Times New Roman" w:cs="Times New Roman"/>
          <w:sz w:val="20"/>
          <w:szCs w:val="20"/>
        </w:rPr>
        <w:t xml:space="preserve"> настоящего пункта), размер которых не может превышать 10 процентов суммы расходов, указанных в </w:t>
      </w:r>
      <w:hyperlink w:anchor="Par467" w:history="1">
        <w:r>
          <w:rPr>
            <w:rFonts w:ascii="Times New Roman" w:hAnsi="Times New Roman" w:cs="Times New Roman"/>
            <w:color w:val="0000FF"/>
            <w:sz w:val="20"/>
            <w:szCs w:val="20"/>
          </w:rPr>
          <w:t>подпунктах "а"</w:t>
        </w:r>
      </w:hyperlink>
      <w:r>
        <w:rPr>
          <w:rFonts w:ascii="Times New Roman" w:hAnsi="Times New Roman" w:cs="Times New Roman"/>
          <w:sz w:val="20"/>
          <w:szCs w:val="20"/>
        </w:rPr>
        <w:t xml:space="preserve"> - </w:t>
      </w:r>
      <w:hyperlink w:anchor="Par473" w:history="1">
        <w:r>
          <w:rPr>
            <w:rFonts w:ascii="Times New Roman" w:hAnsi="Times New Roman" w:cs="Times New Roman"/>
            <w:color w:val="0000FF"/>
            <w:sz w:val="20"/>
            <w:szCs w:val="20"/>
          </w:rPr>
          <w:t>"ж"</w:t>
        </w:r>
      </w:hyperlink>
      <w:r>
        <w:rPr>
          <w:rFonts w:ascii="Times New Roman" w:hAnsi="Times New Roman" w:cs="Times New Roman"/>
          <w:sz w:val="20"/>
          <w:szCs w:val="20"/>
        </w:rPr>
        <w:t xml:space="preserve"> настоящего пункта;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0" w:name="Par475"/>
      <w:bookmarkEnd w:id="50"/>
      <w:r>
        <w:rPr>
          <w:rFonts w:ascii="Times New Roman" w:hAnsi="Times New Roman" w:cs="Times New Roman"/>
          <w:sz w:val="20"/>
          <w:szCs w:val="20"/>
        </w:rPr>
        <w:t>и) расходов, связанных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к) расчетной предпринимательской прибыли организации, осуществляющей транспортирование твердых коммунальных отходов, определяемой в размере 5 процентов суммы расходов, указанных в </w:t>
      </w:r>
      <w:hyperlink w:anchor="Par467" w:history="1">
        <w:r>
          <w:rPr>
            <w:rFonts w:ascii="Times New Roman" w:hAnsi="Times New Roman" w:cs="Times New Roman"/>
            <w:color w:val="0000FF"/>
            <w:sz w:val="20"/>
            <w:szCs w:val="20"/>
          </w:rPr>
          <w:t>подпунктах "а"</w:t>
        </w:r>
      </w:hyperlink>
      <w:r>
        <w:rPr>
          <w:rFonts w:ascii="Times New Roman" w:hAnsi="Times New Roman" w:cs="Times New Roman"/>
          <w:sz w:val="20"/>
          <w:szCs w:val="20"/>
        </w:rPr>
        <w:t xml:space="preserve"> - </w:t>
      </w:r>
      <w:hyperlink w:anchor="Par474" w:history="1">
        <w:r>
          <w:rPr>
            <w:rFonts w:ascii="Times New Roman" w:hAnsi="Times New Roman" w:cs="Times New Roman"/>
            <w:color w:val="0000FF"/>
            <w:sz w:val="20"/>
            <w:szCs w:val="20"/>
          </w:rPr>
          <w:t>"з"</w:t>
        </w:r>
      </w:hyperlink>
      <w:r>
        <w:rPr>
          <w:rFonts w:ascii="Times New Roman" w:hAnsi="Times New Roman" w:cs="Times New Roman"/>
          <w:sz w:val="20"/>
          <w:szCs w:val="20"/>
        </w:rPr>
        <w:t xml:space="preserve"> настоящего пункта.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90(1) введен </w:t>
      </w:r>
      <w:hyperlink r:id="rId157"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90(2). В случае если в целях обеспечения транспортирования твердых коммунальных отходов региональный оператор привлекает операторов по обращению с твердыми коммунальными отходами, осуществляющих деятельность по транспортированию твердых коммунальных отходов, учет расходов на </w:t>
      </w:r>
      <w:r>
        <w:rPr>
          <w:rFonts w:ascii="Times New Roman" w:hAnsi="Times New Roman" w:cs="Times New Roman"/>
          <w:sz w:val="20"/>
          <w:szCs w:val="20"/>
        </w:rPr>
        <w:lastRenderedPageBreak/>
        <w:t xml:space="preserve">транспортирование твердых коммунальных отходов производится в соответствии с заключенными договорами на оказание услуг по транспортированию твердых коммунальных отходов, с учетом положений </w:t>
      </w:r>
      <w:hyperlink w:anchor="Par119" w:history="1">
        <w:r>
          <w:rPr>
            <w:rFonts w:ascii="Times New Roman" w:hAnsi="Times New Roman" w:cs="Times New Roman"/>
            <w:color w:val="0000FF"/>
            <w:sz w:val="20"/>
            <w:szCs w:val="20"/>
          </w:rPr>
          <w:t>пунктов 12</w:t>
        </w:r>
      </w:hyperlink>
      <w:r>
        <w:rPr>
          <w:rFonts w:ascii="Times New Roman" w:hAnsi="Times New Roman" w:cs="Times New Roman"/>
          <w:sz w:val="20"/>
          <w:szCs w:val="20"/>
        </w:rPr>
        <w:t xml:space="preserve">, </w:t>
      </w:r>
      <w:hyperlink w:anchor="Par126"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и </w:t>
      </w:r>
      <w:hyperlink w:anchor="Par466" w:history="1">
        <w:r>
          <w:rPr>
            <w:rFonts w:ascii="Times New Roman" w:hAnsi="Times New Roman" w:cs="Times New Roman"/>
            <w:color w:val="0000FF"/>
            <w:sz w:val="20"/>
            <w:szCs w:val="20"/>
          </w:rPr>
          <w:t>90(1)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90(2) введен </w:t>
      </w:r>
      <w:hyperlink r:id="rId15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1" w:name="Par480"/>
      <w:bookmarkEnd w:id="51"/>
      <w:r>
        <w:rPr>
          <w:rFonts w:ascii="Times New Roman" w:hAnsi="Times New Roman" w:cs="Times New Roman"/>
          <w:sz w:val="20"/>
          <w:szCs w:val="20"/>
        </w:rPr>
        <w:t xml:space="preserve">90(3). В случае если аукцион, в том числе аукцион, участниками которого могут быть только субъекты малого и среднего предпринимательства, проводимый региональным оператором в соответствии с </w:t>
      </w:r>
      <w:hyperlink r:id="rId159"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проведения торгов, признан несостоявшимся по основаниям, указанным в </w:t>
      </w:r>
      <w:hyperlink r:id="rId160" w:history="1">
        <w:r>
          <w:rPr>
            <w:rFonts w:ascii="Times New Roman" w:hAnsi="Times New Roman" w:cs="Times New Roman"/>
            <w:color w:val="0000FF"/>
            <w:sz w:val="20"/>
            <w:szCs w:val="20"/>
          </w:rPr>
          <w:t>части 4 статьи 71</w:t>
        </w:r>
      </w:hyperlink>
      <w:r>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и региональный оператор принимает решение в соответствии с </w:t>
      </w:r>
      <w:hyperlink r:id="rId161" w:history="1">
        <w:r>
          <w:rPr>
            <w:rFonts w:ascii="Times New Roman" w:hAnsi="Times New Roman" w:cs="Times New Roman"/>
            <w:color w:val="0000FF"/>
            <w:sz w:val="20"/>
            <w:szCs w:val="20"/>
          </w:rPr>
          <w:t>пунктом 13</w:t>
        </w:r>
      </w:hyperlink>
      <w:r>
        <w:rPr>
          <w:rFonts w:ascii="Times New Roman" w:hAnsi="Times New Roman" w:cs="Times New Roman"/>
          <w:sz w:val="20"/>
          <w:szCs w:val="20"/>
        </w:rPr>
        <w:t xml:space="preserve"> Правил проведения торгов самостоятельно (без привлечения операторов по обращению с твердыми коммунальными отходами, осуществляющих деятельность по транспортированию твердых коммунальных отходов) обеспечить транспортирование твердых коммунальных отходов, экономически обоснованный размер расходов на транспортирование указанных твердых коммунальных отходов, учитываемый в необходимой валовой выручке регионального оператора, определяется органом регулирования в соответствии с </w:t>
      </w:r>
      <w:hyperlink r:id="rId162"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w:t>
      </w:r>
      <w:hyperlink w:anchor="Par119" w:history="1">
        <w:r>
          <w:rPr>
            <w:rFonts w:ascii="Times New Roman" w:hAnsi="Times New Roman" w:cs="Times New Roman"/>
            <w:color w:val="0000FF"/>
            <w:sz w:val="20"/>
            <w:szCs w:val="20"/>
          </w:rPr>
          <w:t>пунктами 12</w:t>
        </w:r>
      </w:hyperlink>
      <w:r>
        <w:rPr>
          <w:rFonts w:ascii="Times New Roman" w:hAnsi="Times New Roman" w:cs="Times New Roman"/>
          <w:sz w:val="20"/>
          <w:szCs w:val="20"/>
        </w:rPr>
        <w:t xml:space="preserve">, </w:t>
      </w:r>
      <w:hyperlink w:anchor="Par126"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и </w:t>
      </w:r>
      <w:hyperlink w:anchor="Par466" w:history="1">
        <w:r>
          <w:rPr>
            <w:rFonts w:ascii="Times New Roman" w:hAnsi="Times New Roman" w:cs="Times New Roman"/>
            <w:color w:val="0000FF"/>
            <w:sz w:val="20"/>
            <w:szCs w:val="20"/>
          </w:rPr>
          <w:t>90(1)</w:t>
        </w:r>
      </w:hyperlink>
      <w:r>
        <w:rPr>
          <w:rFonts w:ascii="Times New Roman" w:hAnsi="Times New Roman" w:cs="Times New Roman"/>
          <w:sz w:val="20"/>
          <w:szCs w:val="20"/>
        </w:rPr>
        <w:t xml:space="preserve"> в размере, не превышающем цену предмета несостоявшегося аукциона.</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90(3) введен </w:t>
      </w:r>
      <w:hyperlink r:id="rId163"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91. При корректировке необходимой валовой выручки операторов по обращению с твердыми коммунальными отходами, учитываемой при определении необходимой валовой выручки регионального оператора, необходимая валовая выручка регионального оператора корректируется на ту же величину. Другие расходы, учитываемые в необходимой валовой выручке регионального оператора, ежегодно корректируются с учетом: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отклонения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изменений законодательства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отклонения фактического объема (массы) твердых коммунальных отходов от объема (массы), учтенного при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изменений территориальной схемы;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 возмещения расходов, предусмотренных </w:t>
      </w:r>
      <w:hyperlink w:anchor="Par115"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настоящего документа.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2" w:name="Par488"/>
      <w:bookmarkEnd w:id="52"/>
      <w:r>
        <w:rPr>
          <w:rFonts w:ascii="Times New Roman" w:hAnsi="Times New Roman" w:cs="Times New Roman"/>
          <w:sz w:val="20"/>
          <w:szCs w:val="20"/>
        </w:rPr>
        <w:t xml:space="preserve">92. Приведенная стоимость услуги регионального оператора рассчитывается в соответствии с </w:t>
      </w:r>
      <w:hyperlink r:id="rId164"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как сумма прогнозной необходимой валовой выручки регионального оператора за весь срок, на который присваивается такой статус, приведенной к сопоставимым ценам с использованием прогнозируемого значения индекса потребительских цен, указанного в документации об отборе регионального оператора по обращению с твердыми коммунальными отходами, и с применением ставки дисконтирования, равной норме доходности инвестированного капитала в реальном выражении (за вычетом индекса потребительских цен).</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6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15.09.2018 N 1094)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Утверждены</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постановлением Правительства</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Российской Федерации</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30 мая 2016 г. N 484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30.09.2022 по 01.01.2026 Правила не подлежат применению на территориях ДНР, ЛНР, Запорожской и Херсонской областей (</w:t>
            </w:r>
            <w:hyperlink r:id="rId166"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28.12.2022 N 2459).</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both"/>
              <w:rPr>
                <w:rFonts w:ascii="Times New Roman" w:hAnsi="Times New Roman" w:cs="Times New Roman"/>
                <w:color w:val="392C69"/>
                <w:sz w:val="20"/>
                <w:szCs w:val="20"/>
              </w:rPr>
            </w:pPr>
          </w:p>
        </w:tc>
      </w:tr>
    </w:tbl>
    <w:p w:rsidR="005F7112" w:rsidRDefault="005F7112" w:rsidP="005F7112">
      <w:pPr>
        <w:autoSpaceDE w:val="0"/>
        <w:autoSpaceDN w:val="0"/>
        <w:adjustRightInd w:val="0"/>
        <w:spacing w:before="260" w:after="0" w:line="240" w:lineRule="auto"/>
        <w:jc w:val="center"/>
        <w:rPr>
          <w:rFonts w:ascii="Times New Roman" w:hAnsi="Times New Roman" w:cs="Times New Roman"/>
          <w:b/>
          <w:bCs/>
          <w:sz w:val="20"/>
          <w:szCs w:val="20"/>
        </w:rPr>
      </w:pPr>
      <w:bookmarkStart w:id="53" w:name="Par502"/>
      <w:bookmarkEnd w:id="53"/>
      <w:r>
        <w:rPr>
          <w:rFonts w:ascii="Times New Roman" w:hAnsi="Times New Roman" w:cs="Times New Roman"/>
          <w:b/>
          <w:bCs/>
          <w:sz w:val="20"/>
          <w:szCs w:val="20"/>
        </w:rPr>
        <w:t>ПРАВИЛА</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РЕГУЛИРОВАНИЯ ТАРИФОВ В СФЕРЕ ОБРАЩЕНИЯ С ТВЕРДЫМИ</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КОММУНАЛЬНЫМИ ОТХОДАМИ</w:t>
      </w:r>
    </w:p>
    <w:p w:rsidR="005F7112" w:rsidRDefault="005F7112" w:rsidP="005F7112">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5F711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Постановлений Правительства РФ от 28.10.2016 </w:t>
            </w:r>
            <w:hyperlink r:id="rId167" w:history="1">
              <w:r>
                <w:rPr>
                  <w:rFonts w:ascii="Times New Roman" w:hAnsi="Times New Roman" w:cs="Times New Roman"/>
                  <w:color w:val="0000FF"/>
                  <w:sz w:val="20"/>
                  <w:szCs w:val="20"/>
                </w:rPr>
                <w:t>N 1098</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31.03.2018 </w:t>
            </w:r>
            <w:hyperlink r:id="rId168" w:history="1">
              <w:r>
                <w:rPr>
                  <w:rFonts w:ascii="Times New Roman" w:hAnsi="Times New Roman" w:cs="Times New Roman"/>
                  <w:color w:val="0000FF"/>
                  <w:sz w:val="20"/>
                  <w:szCs w:val="20"/>
                </w:rPr>
                <w:t>N 389</w:t>
              </w:r>
            </w:hyperlink>
            <w:r>
              <w:rPr>
                <w:rFonts w:ascii="Times New Roman" w:hAnsi="Times New Roman" w:cs="Times New Roman"/>
                <w:color w:val="392C69"/>
                <w:sz w:val="20"/>
                <w:szCs w:val="20"/>
              </w:rPr>
              <w:t xml:space="preserve">, от 13.04.2019 </w:t>
            </w:r>
            <w:hyperlink r:id="rId169" w:history="1">
              <w:r>
                <w:rPr>
                  <w:rFonts w:ascii="Times New Roman" w:hAnsi="Times New Roman" w:cs="Times New Roman"/>
                  <w:color w:val="0000FF"/>
                  <w:sz w:val="20"/>
                  <w:szCs w:val="20"/>
                </w:rPr>
                <w:t>N 446</w:t>
              </w:r>
            </w:hyperlink>
            <w:r>
              <w:rPr>
                <w:rFonts w:ascii="Times New Roman" w:hAnsi="Times New Roman" w:cs="Times New Roman"/>
                <w:color w:val="392C69"/>
                <w:sz w:val="20"/>
                <w:szCs w:val="20"/>
              </w:rPr>
              <w:t xml:space="preserve">, от 18.03.2021 </w:t>
            </w:r>
            <w:hyperlink r:id="rId170" w:history="1">
              <w:r>
                <w:rPr>
                  <w:rFonts w:ascii="Times New Roman" w:hAnsi="Times New Roman" w:cs="Times New Roman"/>
                  <w:color w:val="0000FF"/>
                  <w:sz w:val="20"/>
                  <w:szCs w:val="20"/>
                </w:rPr>
                <w:t>N 414</w:t>
              </w:r>
            </w:hyperlink>
            <w:r>
              <w:rPr>
                <w:rFonts w:ascii="Times New Roman" w:hAnsi="Times New Roman" w:cs="Times New Roman"/>
                <w:color w:val="392C69"/>
                <w:sz w:val="20"/>
                <w:szCs w:val="20"/>
              </w:rPr>
              <w:t>,</w:t>
            </w:r>
          </w:p>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06.12.2021 </w:t>
            </w:r>
            <w:hyperlink r:id="rId171" w:history="1">
              <w:r>
                <w:rPr>
                  <w:rFonts w:ascii="Times New Roman" w:hAnsi="Times New Roman" w:cs="Times New Roman"/>
                  <w:color w:val="0000FF"/>
                  <w:sz w:val="20"/>
                  <w:szCs w:val="20"/>
                </w:rPr>
                <w:t>N 2209</w:t>
              </w:r>
            </w:hyperlink>
            <w:r>
              <w:rPr>
                <w:rFonts w:ascii="Times New Roman" w:hAnsi="Times New Roman" w:cs="Times New Roman"/>
                <w:color w:val="392C69"/>
                <w:sz w:val="20"/>
                <w:szCs w:val="20"/>
              </w:rPr>
              <w:t xml:space="preserve">, от 24.10.2022 </w:t>
            </w:r>
            <w:hyperlink r:id="rId172" w:history="1">
              <w:r>
                <w:rPr>
                  <w:rFonts w:ascii="Times New Roman" w:hAnsi="Times New Roman" w:cs="Times New Roman"/>
                  <w:color w:val="0000FF"/>
                  <w:sz w:val="20"/>
                  <w:szCs w:val="20"/>
                </w:rPr>
                <w:t>N 1889</w:t>
              </w:r>
            </w:hyperlink>
            <w:r>
              <w:rPr>
                <w:rFonts w:ascii="Times New Roman" w:hAnsi="Times New Roman" w:cs="Times New Roman"/>
                <w:color w:val="392C69"/>
                <w:sz w:val="20"/>
                <w:szCs w:val="20"/>
              </w:rPr>
              <w:t xml:space="preserve">, от 27.01.2024 </w:t>
            </w:r>
            <w:hyperlink r:id="rId173" w:history="1">
              <w:r>
                <w:rPr>
                  <w:rFonts w:ascii="Times New Roman" w:hAnsi="Times New Roman" w:cs="Times New Roman"/>
                  <w:color w:val="0000FF"/>
                  <w:sz w:val="20"/>
                  <w:szCs w:val="20"/>
                </w:rPr>
                <w:t>N 70</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5F7112" w:rsidRDefault="005F7112">
            <w:pPr>
              <w:autoSpaceDE w:val="0"/>
              <w:autoSpaceDN w:val="0"/>
              <w:adjustRightInd w:val="0"/>
              <w:spacing w:after="0" w:line="240" w:lineRule="auto"/>
              <w:jc w:val="center"/>
              <w:rPr>
                <w:rFonts w:ascii="Times New Roman" w:hAnsi="Times New Roman" w:cs="Times New Roman"/>
                <w:color w:val="392C69"/>
                <w:sz w:val="20"/>
                <w:szCs w:val="20"/>
              </w:rPr>
            </w:pPr>
          </w:p>
        </w:tc>
      </w:tr>
    </w:tbl>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Настоящие Правила определяют порядок установления предельных тарифов в сфере обращения с твердыми коммунальными отходами, предусмотренных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в области обращения с твердыми коммунальными отходами, утвержденными постановлением Правительства Российской Федерации от 30 мая 2016 г. N 484 "О ценообразовании в области обращения с твердыми коммунальными отходами" (далее соответственно - Основы ценообразования, тарифы).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Понятия "регулируемая организация", "период регулирования" употребляются в значениях, которые определены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Тарифы устанавливаются исполнительным органом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органом местного самоуправления, осуществляющим регулирование тарифов (далее - орган регулирования), до начала очередного периода регулирования, но не позднее 20 декабря года, предшествующего очередному периоду регулирования.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74"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24.10.2022 N 1889)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Тарифы вводятся в действие с начала очередного календарного года на срок не менее 12 месяцев и в течение этого срока не пересматриваются. Действие настоящего пункта не распространяется:</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75"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13.04.2019 N 446)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на решения органов регулирования, принятые в связи с вступившим в законную силу решением суда, предусматривающим необходимость пересмотра утвержденных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на решения органов регулирования о приведении ранее принятых решений об установлении тарифов в соответствие с законодательством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на решения органов регулирования об установлении тарифов для индивидуальных предпринимателей и организаций, в отношении которых ранее не осуществлялось государственное регулирование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на решения органов регулирования об установлении тарифов на осуществляемые отдельными регулируемыми организациями отдельные регулируемые виды деятельности, в отношении которых ранее не осуществлялось государственное регулирование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на решения органов регулирования об установлении тарифов для регулируемых организаций, которые в течение текущего периода регулирования получили права владения и (или) пользования объектами, используемыми для обработки, обезвреживания, захоронения и энергетической утилизации твердых коммунальных отходов, на основании концессионного соглашения, договора аренды или соглашения о государственно-частном партнерстве, муниципально-частном партнерстве;</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w:t>
      </w:r>
      <w:hyperlink r:id="rId176"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на решения органов регулирования об установлении единого тарифа на услугу регионального оператора по обращению с твердыми коммунальными отходами в случае присвоения организации статуса регионального оператора по обращению с твердыми коммунальными отходами;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на решения органов регулирования, принятые в связи с изменением в течение периода регулирования системы налогообложения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з) на решения органов регулирования, принятые в рамках исполнения предписания федерального органа исполнительной власти в области государственного регулирования тарифов, предусмотренного </w:t>
      </w:r>
      <w:hyperlink r:id="rId177" w:history="1">
        <w:r>
          <w:rPr>
            <w:rFonts w:ascii="Times New Roman" w:hAnsi="Times New Roman" w:cs="Times New Roman"/>
            <w:color w:val="0000FF"/>
            <w:sz w:val="20"/>
            <w:szCs w:val="20"/>
          </w:rPr>
          <w:t>пунктом 59</w:t>
        </w:r>
      </w:hyperlink>
      <w:r>
        <w:rPr>
          <w:rFonts w:ascii="Times New Roman" w:hAnsi="Times New Roman" w:cs="Times New Roman"/>
          <w:sz w:val="20"/>
          <w:szCs w:val="20"/>
        </w:rP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"з" введен </w:t>
      </w:r>
      <w:hyperlink r:id="rId178"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28.10.2016 N 1098)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 на решения органов регулирования тарифов по исполнению предписаний федерального органа исполнительной власти, уполномоченного в области государственного регулирования тарифов, в рамках реализации полномочий по государственному контролю (надзору) в области регулируемых государством тарифов.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"и" введен </w:t>
      </w:r>
      <w:hyperlink r:id="rId17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13.04.2019 N 446)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5. В случае принятия в установленном порядке решения о корректировке инвестиционной и (или) производственной программы регулируемой организации орган регулирования при установлении (корректировке) тарифов учитывает внесенные в инвестиционную и (или) производственную программу изменения начиная со следующего периода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4" w:name="Par529"/>
      <w:bookmarkEnd w:id="54"/>
      <w:r>
        <w:rPr>
          <w:rFonts w:ascii="Times New Roman" w:hAnsi="Times New Roman" w:cs="Times New Roman"/>
          <w:sz w:val="20"/>
          <w:szCs w:val="20"/>
        </w:rPr>
        <w:t>6. Регулируемая организация до 1 сентября года, предшествующего очередному периоду регулирования, представляет в орган регулирования предложение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5" w:name="Par530"/>
      <w:bookmarkEnd w:id="55"/>
      <w:r>
        <w:rPr>
          <w:rFonts w:ascii="Times New Roman" w:hAnsi="Times New Roman" w:cs="Times New Roman"/>
          <w:sz w:val="20"/>
          <w:szCs w:val="20"/>
        </w:rPr>
        <w:t>7. Предложение об установлении тарифов состоит из заявления регулируемой организации об установлении тарифов, в том числе по отдельным регулируемым видам деятельности (далее - заявление об установлении тарифов), и необходимых обосновывающих материалов. В заявлении об установлении тарифов указывается следующая информация: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сведения о регулируемой организации, направившей заявление об установлении тарифов (далее - заявитель):</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наименование заявителя - фамилия, имя и отчество индивидуального предпринимателя или наименование юридического лица (согласно уставу регулируемой организации), фамилия, имя и отчество руководителя;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основной государственный регистрационный номер регулируемой организации, дата его присвоения и наименование органа, принявшего решение о регистрации юридического лица (индивидуального предпринимателя) (согласно свидетельству о государственной регистрации в качестве юридического лица или свидетельству о государственной регистрации физического лица в качестве индивидуального предпринимателя);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почтовый адрес, адрес фактического местонахождения органов управления, контактные телефоны, а также (при наличии) официальный сайт в информационно-телекоммуникационной сети "Интернет" и адрес электронной почты индивидуального предпринимателя или юридического лица;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индивидуальный номер налогоплательщика и код причины постановки на налоговый учет;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метод регулирования тарифов, который регулируемая организация считает необходимым применить при регулировании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6" w:name="Par537"/>
      <w:bookmarkEnd w:id="56"/>
      <w:r>
        <w:rPr>
          <w:rFonts w:ascii="Times New Roman" w:hAnsi="Times New Roman" w:cs="Times New Roman"/>
          <w:sz w:val="20"/>
          <w:szCs w:val="20"/>
        </w:rPr>
        <w:t>8. К заявлению об установлении тарифов прилагаются следующие обосновывающие материалы: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7" w:name="Par538"/>
      <w:bookmarkEnd w:id="57"/>
      <w:r>
        <w:rPr>
          <w:rFonts w:ascii="Times New Roman" w:hAnsi="Times New Roman" w:cs="Times New Roman"/>
          <w:sz w:val="20"/>
          <w:szCs w:val="20"/>
        </w:rPr>
        <w:t>а) копии правоустанавливающих документов (копии гражданско-правовых договоров, концессионных соглашений, соглашений о государственно-частном партнерстве, муниципально-частном партнерстве, при реорганизации юридического лица - передаточных актов), подтверждающих право собственности, иное законное основание для владения, пользования и распоряжения в отношении объектов недвижимости (зданий, строений, сооружений, земельных участков), используемых для осуществления регулируемой деятельности;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копии документов об утверждении учетной политики с приложениями (включая утвержденный план счетов, содержащий перечень счетов и субсчетов синтетического и аналитического бухгалтерского учета);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копия документа о назначении (выборе) лица, имеющего право действовать от имени регулируемой организации без доверенности;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8" w:name="Par541"/>
      <w:bookmarkEnd w:id="58"/>
      <w:r>
        <w:rPr>
          <w:rFonts w:ascii="Times New Roman" w:hAnsi="Times New Roman" w:cs="Times New Roman"/>
          <w:sz w:val="20"/>
          <w:szCs w:val="20"/>
        </w:rPr>
        <w:t>г) копии бухгалтерской и статистической отчетности за предшествующий период регулирования и на последнюю отчетную дату;</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копия утвержденной в установленном порядке производственной программы либо проект производственной программы с содержащимся в нем расчетом финансовых потребностей на реализацию производственной программы с обоснованием этих потребностей и расшифровкой затрат, включенных в нее, по видам деятельности;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е) расчет расходов на осуществление регулируемых видов деятельности и необходимой валовой выручки от регулируемой деятельности с приложением экономического обоснования исходных данных (с указанием применяемых индексов, норм и нормативов расчета, а также метода регулирования тарифов) и предлагаемых значений долгосрочных параметров регулирования, рассчитанных в соответствии с </w:t>
      </w:r>
      <w:hyperlink r:id="rId180"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 xml:space="preserve"> по расчету регулируемых тарифов в области обращения с твердыми коммунальными отходами, утверждаемыми Федеральной антимонопольной службой;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расчет размера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з) расчет объема оказываемых услуг отдельно по регулируемым видам деятельности, предусмотренным Федеральным </w:t>
      </w:r>
      <w:hyperlink r:id="rId18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"Об отходах производства и потребления";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 копия утвержденной в установленном порядке инвестиционной программы либо проект инвестиционной программы с содержащимся в нем расчетом финансовых потребностей на реализацию инвестиционной программы с обоснованием этих потребностей и расшифровкой затрат, включенных в нее, по видам деятельности (при наличии);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к) расчет определяемых в соответствии с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дополнительно полученных доходов, и (или) недополученных доходов, и (или) экономически обоснованных расходов, не учтенных при установлении тарифов для регулируемой организации в предыдущем периоде регулирования (при наличии);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59" w:name="Par548"/>
      <w:bookmarkEnd w:id="59"/>
      <w:r>
        <w:rPr>
          <w:rFonts w:ascii="Times New Roman" w:hAnsi="Times New Roman" w:cs="Times New Roman"/>
          <w:sz w:val="20"/>
          <w:szCs w:val="20"/>
        </w:rPr>
        <w:t>л) копии документов, подтверждающих проведение заявителем закупки товаров (работ, услуг) в установленном законодательством Российской Федерации порядке (положение о закупках, извещение о проведении закупок, документация о закупке, протоколы проведения закупок, составляемые в ходе проведения закупок);</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0" w:name="Par549"/>
      <w:bookmarkEnd w:id="60"/>
      <w:r>
        <w:rPr>
          <w:rFonts w:ascii="Times New Roman" w:hAnsi="Times New Roman" w:cs="Times New Roman"/>
          <w:sz w:val="20"/>
          <w:szCs w:val="20"/>
        </w:rPr>
        <w:t>м) копии договоров о реализации товаров (работ, услуг), являющихся результатом осуществления регулируемой деятельности, договоров купли-продажи электрической энергии и мощности или реестр таких договоров. В указанном реестре должны быть отражены сведения о лице, с которым заключен договор, предмете договора, дате заключения договора, сроке действия договора, об объеме товаров (работ, услуг), реализуемых по договору (за исключением случая, если региональный оператор по обращению с твердыми коммунальными отходами в соответствии с территориальной схемой обращения с отходами, в том числе с твердыми коммунальными отходами, осуществляет самостоятельно деятельность по обработке, обезвреживанию, захоронению и энергетической утилизации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"м" в ред. </w:t>
      </w:r>
      <w:hyperlink r:id="rId182" w:history="1">
        <w:r>
          <w:rPr>
            <w:rFonts w:ascii="Times New Roman" w:hAnsi="Times New Roman" w:cs="Times New Roman"/>
            <w:color w:val="0000FF"/>
            <w:sz w:val="20"/>
            <w:szCs w:val="20"/>
          </w:rPr>
          <w:t>Постановления</w:t>
        </w:r>
      </w:hyperlink>
      <w:r>
        <w:rPr>
          <w:rFonts w:ascii="Times New Roman" w:hAnsi="Times New Roman" w:cs="Times New Roman"/>
          <w:sz w:val="20"/>
          <w:szCs w:val="20"/>
        </w:rPr>
        <w:t xml:space="preserve"> Правительства РФ от 06.12.2021 N 2209)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 материалы, обосновывающие возникновение экономии средств, достигнутой регулируемой организацией в результате снижения расходов предыдущего долгосрочного периода регулирования, и подтверждающие исполнение обязательств, предусмотренных в инвестиционной и (или) производственной программах (при их наличии);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 для случая, указанного в </w:t>
      </w:r>
      <w:hyperlink w:anchor="Par178" w:history="1">
        <w:r>
          <w:rPr>
            <w:rFonts w:ascii="Times New Roman" w:hAnsi="Times New Roman" w:cs="Times New Roman"/>
            <w:color w:val="0000FF"/>
            <w:sz w:val="20"/>
            <w:szCs w:val="20"/>
          </w:rPr>
          <w:t>пункте 24(1)</w:t>
        </w:r>
      </w:hyperlink>
      <w:r>
        <w:rPr>
          <w:rFonts w:ascii="Times New Roman" w:hAnsi="Times New Roman" w:cs="Times New Roman"/>
          <w:sz w:val="20"/>
          <w:szCs w:val="20"/>
        </w:rPr>
        <w:t xml:space="preserve"> Основ ценообразования, дополнительно прилагаются: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расчет расходов на производство грунта, пригодного для технических целей (далее - технический грунт), указанных в </w:t>
      </w:r>
      <w:hyperlink w:anchor="Par178" w:history="1">
        <w:r>
          <w:rPr>
            <w:rFonts w:ascii="Times New Roman" w:hAnsi="Times New Roman" w:cs="Times New Roman"/>
            <w:color w:val="0000FF"/>
            <w:sz w:val="20"/>
            <w:szCs w:val="20"/>
          </w:rPr>
          <w:t>абзаце первом пункта 24(1)</w:t>
        </w:r>
      </w:hyperlink>
      <w:r>
        <w:rPr>
          <w:rFonts w:ascii="Times New Roman" w:hAnsi="Times New Roman" w:cs="Times New Roman"/>
          <w:sz w:val="20"/>
          <w:szCs w:val="20"/>
        </w:rPr>
        <w:t xml:space="preserve"> Основ ценообразования, с приложением экономического обоснования исходных данных (с указанием применяемых индексов, норм и нормативов расчета);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расчет себестоимости 1 тонны технического грунта;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расчет количества твердых коммунальных отходов, направляемых на производство технического грунта;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обосновывающие материалы и выводы об экономии средств на приобретение грунта для изоляции слоев твердых коммунальных отходов, возникающей при использовании технического грунта, полученного путем компостирования 1 тонны твердых коммунальных отходов.</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"о" введен </w:t>
      </w:r>
      <w:hyperlink r:id="rId183"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24.10.2022 N 1889)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1" w:name="Par558"/>
      <w:bookmarkEnd w:id="61"/>
      <w:r>
        <w:rPr>
          <w:rFonts w:ascii="Times New Roman" w:hAnsi="Times New Roman" w:cs="Times New Roman"/>
          <w:sz w:val="20"/>
          <w:szCs w:val="20"/>
        </w:rPr>
        <w:t xml:space="preserve">9. При осуществлении органами регулирования корректировки тарифов обосновывающие материалы, указанные в </w:t>
      </w:r>
      <w:hyperlink w:anchor="Par537" w:history="1">
        <w:r>
          <w:rPr>
            <w:rFonts w:ascii="Times New Roman" w:hAnsi="Times New Roman" w:cs="Times New Roman"/>
            <w:color w:val="0000FF"/>
            <w:sz w:val="20"/>
            <w:szCs w:val="20"/>
          </w:rPr>
          <w:t>пункте 8</w:t>
        </w:r>
      </w:hyperlink>
      <w:r>
        <w:rPr>
          <w:rFonts w:ascii="Times New Roman" w:hAnsi="Times New Roman" w:cs="Times New Roman"/>
          <w:sz w:val="20"/>
          <w:szCs w:val="20"/>
        </w:rPr>
        <w:t xml:space="preserve"> настоящих Правил, направляются регулируемой организацией в орган регулирования по запросу.</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Органы регулирования определяют срок представления обосновывающих материалов, который не может быть менее 5 рабочих дней со дня поступления запроса в регулируемую организацию.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обосновывающие материалы, представленные в отношении реорганизованной организации (реорганизованных организаций) в соответствии с </w:t>
      </w:r>
      <w:hyperlink w:anchor="Par538" w:history="1">
        <w:r>
          <w:rPr>
            <w:rFonts w:ascii="Times New Roman" w:hAnsi="Times New Roman" w:cs="Times New Roman"/>
            <w:color w:val="0000FF"/>
            <w:sz w:val="20"/>
            <w:szCs w:val="20"/>
          </w:rPr>
          <w:t>подпунктами "а"</w:t>
        </w:r>
      </w:hyperlink>
      <w:r>
        <w:rPr>
          <w:rFonts w:ascii="Times New Roman" w:hAnsi="Times New Roman" w:cs="Times New Roman"/>
          <w:sz w:val="20"/>
          <w:szCs w:val="20"/>
        </w:rPr>
        <w:t xml:space="preserve">, </w:t>
      </w:r>
      <w:hyperlink w:anchor="Par541" w:history="1">
        <w:r>
          <w:rPr>
            <w:rFonts w:ascii="Times New Roman" w:hAnsi="Times New Roman" w:cs="Times New Roman"/>
            <w:color w:val="0000FF"/>
            <w:sz w:val="20"/>
            <w:szCs w:val="20"/>
          </w:rPr>
          <w:t>"г"</w:t>
        </w:r>
      </w:hyperlink>
      <w:r>
        <w:rPr>
          <w:rFonts w:ascii="Times New Roman" w:hAnsi="Times New Roman" w:cs="Times New Roman"/>
          <w:sz w:val="20"/>
          <w:szCs w:val="20"/>
        </w:rPr>
        <w:t xml:space="preserve">, </w:t>
      </w:r>
      <w:hyperlink w:anchor="Par548" w:history="1">
        <w:r>
          <w:rPr>
            <w:rFonts w:ascii="Times New Roman" w:hAnsi="Times New Roman" w:cs="Times New Roman"/>
            <w:color w:val="0000FF"/>
            <w:sz w:val="20"/>
            <w:szCs w:val="20"/>
          </w:rPr>
          <w:t>"л"</w:t>
        </w:r>
      </w:hyperlink>
      <w:r>
        <w:rPr>
          <w:rFonts w:ascii="Times New Roman" w:hAnsi="Times New Roman" w:cs="Times New Roman"/>
          <w:sz w:val="20"/>
          <w:szCs w:val="20"/>
        </w:rPr>
        <w:t xml:space="preserve"> и </w:t>
      </w:r>
      <w:hyperlink w:anchor="Par549" w:history="1">
        <w:r>
          <w:rPr>
            <w:rFonts w:ascii="Times New Roman" w:hAnsi="Times New Roman" w:cs="Times New Roman"/>
            <w:color w:val="0000FF"/>
            <w:sz w:val="20"/>
            <w:szCs w:val="20"/>
          </w:rPr>
          <w:t>"м" пункта 8</w:t>
        </w:r>
      </w:hyperlink>
      <w:r>
        <w:rPr>
          <w:rFonts w:ascii="Times New Roman" w:hAnsi="Times New Roman" w:cs="Times New Roman"/>
          <w:sz w:val="20"/>
          <w:szCs w:val="20"/>
        </w:rPr>
        <w:t xml:space="preserve"> настоящих Правил.</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2" w:name="Par561"/>
      <w:bookmarkEnd w:id="62"/>
      <w:r>
        <w:rPr>
          <w:rFonts w:ascii="Times New Roman" w:hAnsi="Times New Roman" w:cs="Times New Roman"/>
          <w:sz w:val="20"/>
          <w:szCs w:val="20"/>
        </w:rP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регулируемой организации на дату ее государственной регистрации.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11. Заявление об установлении тарифов подписывается руководителем или иным уполномоченным лицом регулируемой организации, скрепляется печатью регулируемой организации и содержит опись прилагаемых к нему обосновывающих материалов.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установления тарифов перечень обосновывающих материалов, указанных в </w:t>
      </w:r>
      <w:hyperlink w:anchor="Par537" w:history="1">
        <w:r>
          <w:rPr>
            <w:rFonts w:ascii="Times New Roman" w:hAnsi="Times New Roman" w:cs="Times New Roman"/>
            <w:color w:val="0000FF"/>
            <w:sz w:val="20"/>
            <w:szCs w:val="20"/>
          </w:rPr>
          <w:t>пункте 8</w:t>
        </w:r>
      </w:hyperlink>
      <w:r>
        <w:rPr>
          <w:rFonts w:ascii="Times New Roman" w:hAnsi="Times New Roman" w:cs="Times New Roman"/>
          <w:sz w:val="20"/>
          <w:szCs w:val="20"/>
        </w:rPr>
        <w:t xml:space="preserve"> и в </w:t>
      </w:r>
      <w:hyperlink w:anchor="Par561" w:history="1">
        <w:r>
          <w:rPr>
            <w:rFonts w:ascii="Times New Roman" w:hAnsi="Times New Roman" w:cs="Times New Roman"/>
            <w:color w:val="0000FF"/>
            <w:sz w:val="20"/>
            <w:szCs w:val="20"/>
          </w:rPr>
          <w:t>абзаце втором пункта 10</w:t>
        </w:r>
      </w:hyperlink>
      <w:r>
        <w:rPr>
          <w:rFonts w:ascii="Times New Roman" w:hAnsi="Times New Roman" w:cs="Times New Roman"/>
          <w:sz w:val="20"/>
          <w:szCs w:val="20"/>
        </w:rPr>
        <w:t xml:space="preserve"> настоящих Правил, является исчерпывающим.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По инициативе регулируемой организации помимо указанных в </w:t>
      </w:r>
      <w:hyperlink w:anchor="Par537" w:history="1">
        <w:r>
          <w:rPr>
            <w:rFonts w:ascii="Times New Roman" w:hAnsi="Times New Roman" w:cs="Times New Roman"/>
            <w:color w:val="0000FF"/>
            <w:sz w:val="20"/>
            <w:szCs w:val="20"/>
          </w:rPr>
          <w:t>пункте 8</w:t>
        </w:r>
      </w:hyperlink>
      <w:r>
        <w:rPr>
          <w:rFonts w:ascii="Times New Roman" w:hAnsi="Times New Roman" w:cs="Times New Roman"/>
          <w:sz w:val="20"/>
          <w:szCs w:val="20"/>
        </w:rPr>
        <w:t xml:space="preserve"> настоящих Правил обосновывающих материалов могут быть представлены иные документы и материалы, в том числе экспертное заключение независимых экспертов.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 Предложение об установлении тарифов представляется в орган регулирования лично руководителем регулируемой организации или иным уполномоченным лицом, либо направляется почтовым отправлением с описью вложения и уведомлением о вручении, либо представляется в электронной форме.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представления предложения об установлении тарифов в электронной форме оно подписывается руководителем регулируемой организации или уполномоченным им лицом тем видом электронной подписи, который предусмотрен законодательством Российской Федерации для подписания таких документов.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3" w:name="Par567"/>
      <w:bookmarkEnd w:id="63"/>
      <w:r>
        <w:rPr>
          <w:rFonts w:ascii="Times New Roman" w:hAnsi="Times New Roman" w:cs="Times New Roman"/>
          <w:sz w:val="20"/>
          <w:szCs w:val="20"/>
        </w:rPr>
        <w:t xml:space="preserve">13. В случае непредставления регулируемой организацией в полном объеме предусмотренных </w:t>
      </w:r>
      <w:hyperlink w:anchor="Par537" w:history="1">
        <w:r>
          <w:rPr>
            <w:rFonts w:ascii="Times New Roman" w:hAnsi="Times New Roman" w:cs="Times New Roman"/>
            <w:color w:val="0000FF"/>
            <w:sz w:val="20"/>
            <w:szCs w:val="20"/>
          </w:rPr>
          <w:t>пунктом 8</w:t>
        </w:r>
      </w:hyperlink>
      <w:r>
        <w:rPr>
          <w:rFonts w:ascii="Times New Roman" w:hAnsi="Times New Roman" w:cs="Times New Roman"/>
          <w:sz w:val="20"/>
          <w:szCs w:val="20"/>
        </w:rPr>
        <w:t xml:space="preserve"> настоящих Правил обосновывающих материалов орган регулирования в течение 10 рабочих дней со дня подачи регулируемой организацией заявления об установлении тарифов направляет заказным почтовым отправлением уведомление о необходимости представления таких материалов в полном объеме. В случае непредставления регулируемой организацией обосновывающих материалов в течение 5 рабочих дней со дня получения такого уведомления орган регулирования без рассмотрения возвращает регулируемой организации материалы с указанием причин возврата.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Возврат органом регулирования заявления об установлении тарифов и приложенных к нему материалов не является препятствием для повторного обращения с заявлением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если в ходе анализа представленных предложений об установлении тарифов возникнет необходимость уточнения предложения об установлении тарифов, орган регулирования запрашивает дополнительные сведения, в том числе сведения, подтверждающие фактически понесенные регулируемой организацией расходы в предыдущем периоде регулирования. Срок представления таких сведений определяется органом регулирования, но не может быть менее 7 рабочих дней со дня поступления запроса в регулируемую организацию.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14. Уполномоченные руководителем представители регулируемой организации, в отношении которой устанавливаются тарифы, вправе на основании письменного ходатайства получать информацию о ходе рассмотрения предложения об установлении тарифов и снимать копии с документов в течение всего периода рассмотрения предложения до момента установления тарифов, а также в течение года с даты принятия решения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15. Для организации, в отношении которой ранее не осуществлялось государственное регулирование тарифов, тарифы на текущий год определяются в случае, если предложение об установлении тарифов подано не позднее 1 ноября текущего года. В этом случае тарифы для организации устанавливаются в течение 30 календарных дней со дня поступления в орган регулирования предложения об установлении тарифов и необходимых обосновывающих материалов в полном объеме. По решению органа регулирования указанный срок может быть продлен не более чем на 30 календарных дней.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организации, впервые обратившейся с предложением об установлении тарифов, сведения об экономически обоснованных расходах, фактически понесенных в период со дня подачи документов, указанных в </w:t>
      </w:r>
      <w:hyperlink w:anchor="Par529" w:history="1">
        <w:r>
          <w:rPr>
            <w:rFonts w:ascii="Times New Roman" w:hAnsi="Times New Roman" w:cs="Times New Roman"/>
            <w:color w:val="0000FF"/>
            <w:sz w:val="20"/>
            <w:szCs w:val="20"/>
          </w:rPr>
          <w:t>пунктах 6</w:t>
        </w:r>
      </w:hyperlink>
      <w:r>
        <w:rPr>
          <w:rFonts w:ascii="Times New Roman" w:hAnsi="Times New Roman" w:cs="Times New Roman"/>
          <w:sz w:val="20"/>
          <w:szCs w:val="20"/>
        </w:rPr>
        <w:t xml:space="preserve"> - </w:t>
      </w:r>
      <w:hyperlink w:anchor="Par537" w:history="1">
        <w:r>
          <w:rPr>
            <w:rFonts w:ascii="Times New Roman" w:hAnsi="Times New Roman" w:cs="Times New Roman"/>
            <w:color w:val="0000FF"/>
            <w:sz w:val="20"/>
            <w:szCs w:val="20"/>
          </w:rPr>
          <w:t>8</w:t>
        </w:r>
      </w:hyperlink>
      <w:r>
        <w:rPr>
          <w:rFonts w:ascii="Times New Roman" w:hAnsi="Times New Roman" w:cs="Times New Roman"/>
          <w:sz w:val="20"/>
          <w:szCs w:val="20"/>
        </w:rPr>
        <w:t xml:space="preserve"> настоящих Правил, до начала очередного периода регулирования, рассматриваются органом регулирования и учитываются при установлении такой организации тарифов на последующий период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16. Выбор метода регулирования тарифов осуществляется органом регулирования в соответствии с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и с учетом предложения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Регулирование единых тарифов на услугу регионального оператора по обращению с твердыми коммунальными отходами, в том числе единых тарифов на услугу регионального оператора по обращению с твердыми коммунальными отходами, устанавливаемых на долгосрочный период регулирования, осуществляется в соответствии с особенностями, предусмотренными </w:t>
      </w:r>
      <w:hyperlink w:anchor="Par434" w:history="1">
        <w:r>
          <w:rPr>
            <w:rFonts w:ascii="Times New Roman" w:hAnsi="Times New Roman" w:cs="Times New Roman"/>
            <w:color w:val="0000FF"/>
            <w:sz w:val="20"/>
            <w:szCs w:val="20"/>
          </w:rPr>
          <w:t>пунктами 89</w:t>
        </w:r>
      </w:hyperlink>
      <w:r>
        <w:rPr>
          <w:rFonts w:ascii="Times New Roman" w:hAnsi="Times New Roman" w:cs="Times New Roman"/>
          <w:sz w:val="20"/>
          <w:szCs w:val="20"/>
        </w:rPr>
        <w:t xml:space="preserve"> - </w:t>
      </w:r>
      <w:hyperlink w:anchor="Par488" w:history="1">
        <w:r>
          <w:rPr>
            <w:rFonts w:ascii="Times New Roman" w:hAnsi="Times New Roman" w:cs="Times New Roman"/>
            <w:color w:val="0000FF"/>
            <w:sz w:val="20"/>
            <w:szCs w:val="20"/>
          </w:rPr>
          <w:t>92</w:t>
        </w:r>
      </w:hyperlink>
      <w:r>
        <w:rPr>
          <w:rFonts w:ascii="Times New Roman" w:hAnsi="Times New Roman" w:cs="Times New Roman"/>
          <w:sz w:val="20"/>
          <w:szCs w:val="20"/>
        </w:rPr>
        <w:t xml:space="preserve"> Основ ценообразования и </w:t>
      </w:r>
      <w:hyperlink r:id="rId184" w:history="1">
        <w:r>
          <w:rPr>
            <w:rFonts w:ascii="Times New Roman" w:hAnsi="Times New Roman" w:cs="Times New Roman"/>
            <w:color w:val="0000FF"/>
            <w:sz w:val="20"/>
            <w:szCs w:val="20"/>
          </w:rPr>
          <w:t>методическими указаниями</w:t>
        </w:r>
      </w:hyperlink>
      <w:r>
        <w:rPr>
          <w:rFonts w:ascii="Times New Roman" w:hAnsi="Times New Roman" w:cs="Times New Roman"/>
          <w:sz w:val="20"/>
          <w:szCs w:val="20"/>
        </w:rPr>
        <w:t>.</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w:t>
      </w:r>
      <w:hyperlink r:id="rId185"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18.03.2021 N 414)</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17. Орган регулирования проводит экспертизу предложений об установлении тарифов в части обоснованности расходов, учтенных при расчете тарифов, корректности определения параметров расчета тарифов и отражает ее результаты в своем экспертном заключении.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Решения правления (коллегии) органа регулирования принимаются на основании представляемых регулируемой организацией обосновывающих материалов и экспертного заключения органа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Указанное экспертное заключение, а также заключения, представленные регулируемыми организациями по их инициативе (в случае их наличия), приобщаются к делу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18. Экспертное заключение органа регулирования содержит: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анализ экономической обоснованности расходов по отдельным статьям (группам расходов) и обоснованности расчета объема отпуска услуг;</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анализ экономической обоснованности величины прибыли, необходимой для эффективного функционирования регулируемой организации;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сравнительный анализ динамики необходимой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и по отношению к другим регулируемым организациям, осуществляющим деятельность в сопоставимых условиях;</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обоснование причин и ссылки на правовые нормы, на основании которых орган регулирования принимает решение об исключении из расчета тарифов экономически не обоснованных расходов, учтенных регулируемой организацией в предложении об установлении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расчеты экономически обоснованных расходов (недополученных доходов) в разрезе статей затрат, а также расчеты необходимой валовой выручки и размера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19. Решение об установлении тарифов принимается органом регулирования по итогам заседания правления (коллегии) органа регулирования не позднее 20 декабря года, предшествующего началу периода регулирования, на который устанавливаются тарифы.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Решение об установлении тарифов на очередной период регулирования для организаций, в отношении которых ранее не осуществлялось государственное регулирование тарифов, а также решение об установлении тарифов на осуществляемые регулируемыми организациями отдельные регулируемые виды деятельности в области обращения с твердыми коммунальными отходами, в отношении которых ранее не осуществлялось государственное регулирование тарифов, принимается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тарифов, сформированных в соответствии с требованиями, установленными </w:t>
      </w:r>
      <w:hyperlink w:anchor="Par529" w:history="1">
        <w:r>
          <w:rPr>
            <w:rFonts w:ascii="Times New Roman" w:hAnsi="Times New Roman" w:cs="Times New Roman"/>
            <w:color w:val="0000FF"/>
            <w:sz w:val="20"/>
            <w:szCs w:val="20"/>
          </w:rPr>
          <w:t>пунктами 6</w:t>
        </w:r>
      </w:hyperlink>
      <w:r>
        <w:rPr>
          <w:rFonts w:ascii="Times New Roman" w:hAnsi="Times New Roman" w:cs="Times New Roman"/>
          <w:sz w:val="20"/>
          <w:szCs w:val="20"/>
        </w:rPr>
        <w:t xml:space="preserve"> - </w:t>
      </w:r>
      <w:hyperlink w:anchor="Par567" w:history="1">
        <w:r>
          <w:rPr>
            <w:rFonts w:ascii="Times New Roman" w:hAnsi="Times New Roman" w:cs="Times New Roman"/>
            <w:color w:val="0000FF"/>
            <w:sz w:val="20"/>
            <w:szCs w:val="20"/>
          </w:rPr>
          <w:t>13</w:t>
        </w:r>
      </w:hyperlink>
      <w:r>
        <w:rPr>
          <w:rFonts w:ascii="Times New Roman" w:hAnsi="Times New Roman" w:cs="Times New Roman"/>
          <w:sz w:val="20"/>
          <w:szCs w:val="20"/>
        </w:rPr>
        <w:t xml:space="preserve"> настоящих Правил. По решению органа регулирования указанный срок может быть продлен, но не более чем на 30 календарных дней. Срок действия тарифов для организаций, в отношении которых ранее не осуществлялось государственное регулирование тарифов, может составлять менее года.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20. Решение органа регулирования включает:</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а) величину тарифов с указанием применяемой календарной разбивки и применяемой дифференциации тарифов - в случае, если установление тарифов осуществляется с календарной разбивкой и дифференциацией;</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дату введения в действие тарифов, в том числе с календарной разбивкой, дату окончания действия тарифов;</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величину долгосрочных параметров регулирования, на основе которых были установлены тарифы, - в случае, если установление тарифов осуществляется на основе долгосрочных параметров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г) указание об утверждении единых тарифов на услугу регионального оператора по обращению с твердыми коммунальными отходами с учетом применения (неприменения) </w:t>
      </w:r>
      <w:hyperlink r:id="rId186" w:history="1">
        <w:r>
          <w:rPr>
            <w:rFonts w:ascii="Times New Roman" w:hAnsi="Times New Roman" w:cs="Times New Roman"/>
            <w:color w:val="0000FF"/>
            <w:sz w:val="20"/>
            <w:szCs w:val="20"/>
          </w:rPr>
          <w:t>подпункта 36 пункта 2 статьи 149</w:t>
        </w:r>
      </w:hyperlink>
      <w:r>
        <w:rPr>
          <w:rFonts w:ascii="Times New Roman" w:hAnsi="Times New Roman" w:cs="Times New Roman"/>
          <w:sz w:val="20"/>
          <w:szCs w:val="20"/>
        </w:rPr>
        <w:t xml:space="preserve"> Налогового кодекса Российской Федерации (в случае установления единых тарифов на услугу регионального оператора по обращению с твердыми коммунальными отходами).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"г" введен </w:t>
      </w:r>
      <w:hyperlink r:id="rId187"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27.01.2024 N 70)</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21. В протоколе заседания правления (коллегии) органа регулирования указываются также основные показатели расчета тарифов регулируемой организации на период регулирования (на каждый год долгосрочного периода регулирования), в том числе:</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 величина необходимой валовой выручки регулируемой организации, принятая при расчете установленных тарифов, и основные статьи (группы) расходов по регулируемым видам деятельности в соответствии с классификацией расходов, определенной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 объем оказываемых услуг, на основании которых были рассчитаны установленные тарифы;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индекс потребительских цен, индексы роста цен на каждый энергетический ресурс, потребляемый регулируемой организацией при осуществлении регулируемой деятельности в очередном периоде регулирования;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 долгосрочные параметры регулирования - в случаях, когда установление тарифов осуществляется с применением метода доходности инвестированного капитала или метода индексации;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 стоимость, сроки начала строительства (реконструкции) и ввода в эксплуатацию объектов, используемых для обращения с твердыми коммунальными отходами и предусмотренных утвержденной инвестиционной программой регулируемой организации, источники финансирования инвестиционной программы;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е) виды и величина расходов, не учтенных (исключенных) при установлении тарифов, с указанием оснований принятия такого решения;</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ж) перечень и величина параметров, учтенных при корректировке необходимой валовой выручки регулируемых организаций, - в случаях, когда установление тарифов осуществляется с применением метода индексации;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з) указание об утверждении единых тарифов на услугу регионального оператора по обращению с твердыми коммунальными отходами с учетом применения (неприменения) </w:t>
      </w:r>
      <w:hyperlink r:id="rId188" w:history="1">
        <w:r>
          <w:rPr>
            <w:rFonts w:ascii="Times New Roman" w:hAnsi="Times New Roman" w:cs="Times New Roman"/>
            <w:color w:val="0000FF"/>
            <w:sz w:val="20"/>
            <w:szCs w:val="20"/>
          </w:rPr>
          <w:t>подпункта 36 пункта 2 статьи 149</w:t>
        </w:r>
      </w:hyperlink>
      <w:r>
        <w:rPr>
          <w:rFonts w:ascii="Times New Roman" w:hAnsi="Times New Roman" w:cs="Times New Roman"/>
          <w:sz w:val="20"/>
          <w:szCs w:val="20"/>
        </w:rPr>
        <w:t xml:space="preserve"> Налогового кодекса Российской Федерации (в случае установления единых тарифов на услугу регионального оператора по обращению с твердыми коммунальными отходами).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(пп. "з" введен </w:t>
      </w:r>
      <w:hyperlink r:id="rId189"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27.01.2024 N 70)</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22. Орган регулирования отказывает регулируемой организации во включении в тарифы отдельных расходов, предложенных регулируемой организацией, в случае если экономическая обоснованность таких расходов в соответствии с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и методическими указаниями по расчету регулируемых тарифов в области обращения с твердыми коммунальными отходами, утверждаемыми Федеральной антимонопольной службой, не подтверждена.</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23. Орган регулирования в течение 7 рабочих дней со дня принятия решения об установлении тарифов направляет заверенную копию указанного решения с приложением протокола заседания правления (коллегии) органа регулирования (выписки из указанного протокола) в адрес каждой регулируемой организации, для которой этим решением установлены тарифы.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Направление указанных документов осуществляется почтовым отправлением с уведомлением о вручении и (или) в электронном виде с получением подтверждения информации адресатом.</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bookmarkStart w:id="64" w:name="Par606"/>
      <w:bookmarkEnd w:id="64"/>
      <w:r>
        <w:rPr>
          <w:rFonts w:ascii="Times New Roman" w:hAnsi="Times New Roman" w:cs="Times New Roman"/>
          <w:sz w:val="20"/>
          <w:szCs w:val="20"/>
        </w:rPr>
        <w:t>24. Орган регулирования обеспечивает размещение решения об установлении тарифов с приложением протокола заседания правления (коллегии) органа регулирования в течение 7 рабочих дней со дня принятия решения об установлении тарифов на своем официальном сайте в информационно-телекоммуникационной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25. Решение об установлении тарифов не имеет обратной силы.</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26. При изменении тарифов в течение срока их действия по основаниям, предусмотренным законодательством Российской Федерации, орган регулирования запрашивает у регулируемых организаций предусмотренные </w:t>
      </w:r>
      <w:hyperlink w:anchor="Par537" w:history="1">
        <w:r>
          <w:rPr>
            <w:rFonts w:ascii="Times New Roman" w:hAnsi="Times New Roman" w:cs="Times New Roman"/>
            <w:color w:val="0000FF"/>
            <w:sz w:val="20"/>
            <w:szCs w:val="20"/>
          </w:rPr>
          <w:t>пунктом 8</w:t>
        </w:r>
      </w:hyperlink>
      <w:r>
        <w:rPr>
          <w:rFonts w:ascii="Times New Roman" w:hAnsi="Times New Roman" w:cs="Times New Roman"/>
          <w:sz w:val="20"/>
          <w:szCs w:val="20"/>
        </w:rPr>
        <w:t xml:space="preserve"> настоящих Правил обосновывающие материалы. Срок представления запрашиваемых материалов указывается органом регулирования в запросе и не может быть менее 5 рабочих дней со дня поступления запроса в регулируемую организацию.</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27. Корректировка долгосрочных тарифов по основаниям, предусмотренным </w:t>
      </w:r>
      <w:hyperlink w:anchor="Par39"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осуществляется в соответствии с </w:t>
      </w:r>
      <w:hyperlink w:anchor="Par529" w:history="1">
        <w:r>
          <w:rPr>
            <w:rFonts w:ascii="Times New Roman" w:hAnsi="Times New Roman" w:cs="Times New Roman"/>
            <w:color w:val="0000FF"/>
            <w:sz w:val="20"/>
            <w:szCs w:val="20"/>
          </w:rPr>
          <w:t>пунктами 6</w:t>
        </w:r>
      </w:hyperlink>
      <w:r>
        <w:rPr>
          <w:rFonts w:ascii="Times New Roman" w:hAnsi="Times New Roman" w:cs="Times New Roman"/>
          <w:sz w:val="20"/>
          <w:szCs w:val="20"/>
        </w:rPr>
        <w:t xml:space="preserve">, </w:t>
      </w:r>
      <w:hyperlink w:anchor="Par530" w:history="1">
        <w:r>
          <w:rPr>
            <w:rFonts w:ascii="Times New Roman" w:hAnsi="Times New Roman" w:cs="Times New Roman"/>
            <w:color w:val="0000FF"/>
            <w:sz w:val="20"/>
            <w:szCs w:val="20"/>
          </w:rPr>
          <w:t>7</w:t>
        </w:r>
      </w:hyperlink>
      <w:r>
        <w:rPr>
          <w:rFonts w:ascii="Times New Roman" w:hAnsi="Times New Roman" w:cs="Times New Roman"/>
          <w:sz w:val="20"/>
          <w:szCs w:val="20"/>
        </w:rPr>
        <w:t xml:space="preserve">, </w:t>
      </w:r>
      <w:hyperlink w:anchor="Par558" w:history="1">
        <w:r>
          <w:rPr>
            <w:rFonts w:ascii="Times New Roman" w:hAnsi="Times New Roman" w:cs="Times New Roman"/>
            <w:color w:val="0000FF"/>
            <w:sz w:val="20"/>
            <w:szCs w:val="20"/>
          </w:rPr>
          <w:t>9</w:t>
        </w:r>
      </w:hyperlink>
      <w:r>
        <w:rPr>
          <w:rFonts w:ascii="Times New Roman" w:hAnsi="Times New Roman" w:cs="Times New Roman"/>
          <w:sz w:val="20"/>
          <w:szCs w:val="20"/>
        </w:rPr>
        <w:t xml:space="preserve"> - </w:t>
      </w:r>
      <w:hyperlink w:anchor="Par606" w:history="1">
        <w:r>
          <w:rPr>
            <w:rFonts w:ascii="Times New Roman" w:hAnsi="Times New Roman" w:cs="Times New Roman"/>
            <w:color w:val="0000FF"/>
            <w:sz w:val="20"/>
            <w:szCs w:val="20"/>
          </w:rPr>
          <w:t>24</w:t>
        </w:r>
      </w:hyperlink>
      <w:r>
        <w:rPr>
          <w:rFonts w:ascii="Times New Roman" w:hAnsi="Times New Roman" w:cs="Times New Roman"/>
          <w:sz w:val="20"/>
          <w:szCs w:val="20"/>
        </w:rPr>
        <w:t xml:space="preserve"> настоящих Правил.</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28. Установление для потребителей или отдельных категорий потребителей льготных тарифов осуществляется в соответствии с </w:t>
      </w:r>
      <w:hyperlink r:id="rId190" w:history="1">
        <w:r>
          <w:rPr>
            <w:rFonts w:ascii="Times New Roman" w:hAnsi="Times New Roman" w:cs="Times New Roman"/>
            <w:color w:val="0000FF"/>
            <w:sz w:val="20"/>
            <w:szCs w:val="20"/>
          </w:rPr>
          <w:t>пунктами 11</w:t>
        </w:r>
      </w:hyperlink>
      <w:r>
        <w:rPr>
          <w:rFonts w:ascii="Times New Roman" w:hAnsi="Times New Roman" w:cs="Times New Roman"/>
          <w:sz w:val="20"/>
          <w:szCs w:val="20"/>
        </w:rPr>
        <w:t xml:space="preserve"> и </w:t>
      </w:r>
      <w:hyperlink r:id="rId191" w:history="1">
        <w:r>
          <w:rPr>
            <w:rFonts w:ascii="Times New Roman" w:hAnsi="Times New Roman" w:cs="Times New Roman"/>
            <w:color w:val="0000FF"/>
            <w:sz w:val="20"/>
            <w:szCs w:val="20"/>
          </w:rPr>
          <w:t>12 статьи 24.9</w:t>
        </w:r>
      </w:hyperlink>
      <w:r>
        <w:rPr>
          <w:rFonts w:ascii="Times New Roman" w:hAnsi="Times New Roman" w:cs="Times New Roman"/>
          <w:sz w:val="20"/>
          <w:szCs w:val="20"/>
        </w:rPr>
        <w:t xml:space="preserve"> Федерального закона "Об отходах производства и потребления" и настоящими Правилами.</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 регулирования не позднее 5 рабочих дней со дня вступления в силу соответствующего нормативного правового акта субъекта Российской Федерации обеспечивает опубликование перечня потребителей или отдельных категорий потребителей, имеющих право на льготные тарифы (за исключением физических лиц), путем его размещения на своем официальном сайте в информационно-телекоммуникационной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28 введен </w:t>
      </w:r>
      <w:hyperlink r:id="rId192" w:history="1">
        <w:r>
          <w:rPr>
            <w:rFonts w:ascii="Times New Roman" w:hAnsi="Times New Roman" w:cs="Times New Roman"/>
            <w:color w:val="0000FF"/>
            <w:sz w:val="20"/>
            <w:szCs w:val="20"/>
          </w:rPr>
          <w:t>Постановлением</w:t>
        </w:r>
      </w:hyperlink>
      <w:r>
        <w:rPr>
          <w:rFonts w:ascii="Times New Roman" w:hAnsi="Times New Roman" w:cs="Times New Roman"/>
          <w:sz w:val="20"/>
          <w:szCs w:val="20"/>
        </w:rPr>
        <w:t xml:space="preserve"> Правительства РФ от 31.03.2018 N 389)</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Приложение</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к постановлению Правительства</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Российской Федерации</w:t>
      </w:r>
    </w:p>
    <w:p w:rsidR="005F7112" w:rsidRDefault="005F7112" w:rsidP="005F711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30 мая 2016 г. N 484</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bookmarkStart w:id="65" w:name="Par623"/>
      <w:bookmarkEnd w:id="65"/>
      <w:r>
        <w:rPr>
          <w:rFonts w:ascii="Times New Roman" w:hAnsi="Times New Roman" w:cs="Times New Roman"/>
          <w:b/>
          <w:bCs/>
          <w:sz w:val="20"/>
          <w:szCs w:val="20"/>
        </w:rPr>
        <w:t>ПЕРЕЧЕНЬ</w:t>
      </w:r>
    </w:p>
    <w:p w:rsidR="005F7112" w:rsidRDefault="005F7112" w:rsidP="005F7112">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УТРАТИВШИХ СИЛУ АКТОВ ПРАВИТЕЛЬСТВА РОССИЙСКОЙ ФЕДЕРАЦИИ</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w:t>
      </w:r>
      <w:hyperlink r:id="rId193"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14 июля 2008 г. N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 (Собрание законодательства Российской Федерации, 2008, N 29, ст. 3518).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w:t>
      </w:r>
      <w:hyperlink r:id="rId194"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15 сентября 2009 г. N 750 "О внесении изменений в постановление Правительства Российской Федерации от 14 июля 2008 г. N 520" (Собрание законодательства Российской Федерации, 2009, N 38, ст. 4502).</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195"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27 ноября 2010 г. N 940 "О внесении изменений в некоторые акты Правительства Российской Федерации в части совершенствования порядка подключения к сетям инженерно-технического обеспечения" (Собрание законодательства Российской Федерации, 2010, N 50, ст. 6698).</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w:t>
      </w:r>
      <w:hyperlink r:id="rId196"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8 июня 2011 г. N 449 "О внесении изменений в акты Правительства Российской Федерации по вопросам регулирования тарифов на тепловую энергию, горячую и холодную воду, водоотведение на 2011 - 2012 годы" (Собрание законодательства Российской Федерации, 2011, N 24, ст. 3501).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w:t>
      </w:r>
      <w:hyperlink r:id="rId197"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8 ноября 2012 г. N 1149 "О внесении изменений в Основы ценообразования в сфере деятельности организаций коммунального комплекса" (Собрание законодательства Российской Федерации, 2012, N 46, ст. 6356).</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w:t>
      </w:r>
      <w:hyperlink r:id="rId198"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8 мая 2013 г. N 405 "О внесении изменений в постановление Правительства Российской Федерации от 14 июля 2008 г. N 520" (Собрание законодательства Российской Федерации, 2013, N 20, ст. 2499).</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w:t>
      </w:r>
      <w:hyperlink r:id="rId199" w:history="1">
        <w:r>
          <w:rPr>
            <w:rFonts w:ascii="Times New Roman" w:hAnsi="Times New Roman" w:cs="Times New Roman"/>
            <w:color w:val="0000FF"/>
            <w:sz w:val="20"/>
            <w:szCs w:val="20"/>
          </w:rPr>
          <w:t>Постановление</w:t>
        </w:r>
      </w:hyperlink>
      <w:r>
        <w:rPr>
          <w:rFonts w:ascii="Times New Roman" w:hAnsi="Times New Roman" w:cs="Times New Roman"/>
          <w:sz w:val="20"/>
          <w:szCs w:val="20"/>
        </w:rPr>
        <w:t xml:space="preserve"> Правительства Российской Федерации от 4 октября 2013 г. N 874 "О внесении изменений в Основы ценообразования в сфере деятельности организаций коммунального комплекса" (Собрание законодательства Российской Федерации, 2013, N 41, ст. 5191).</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 </w:t>
      </w:r>
      <w:hyperlink r:id="rId200" w:history="1">
        <w:r>
          <w:rPr>
            <w:rFonts w:ascii="Times New Roman" w:hAnsi="Times New Roman" w:cs="Times New Roman"/>
            <w:color w:val="0000FF"/>
            <w:sz w:val="20"/>
            <w:szCs w:val="20"/>
          </w:rPr>
          <w:t>Пункт 16</w:t>
        </w:r>
      </w:hyperlink>
      <w:r>
        <w:rPr>
          <w:rFonts w:ascii="Times New Roman" w:hAnsi="Times New Roman" w:cs="Times New Roman"/>
          <w:sz w:val="20"/>
          <w:szCs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2014 г. N 230 "О внесении изменений в некоторые акты Правительства Российской Федерации" (Собрание законодательства Российской Федерации, 2014, N 14, ст. 1627).</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w:t>
      </w:r>
      <w:hyperlink r:id="rId201" w:history="1">
        <w:r>
          <w:rPr>
            <w:rFonts w:ascii="Times New Roman" w:hAnsi="Times New Roman" w:cs="Times New Roman"/>
            <w:color w:val="0000FF"/>
            <w:sz w:val="20"/>
            <w:szCs w:val="20"/>
          </w:rPr>
          <w:t>Пункт 4</w:t>
        </w:r>
      </w:hyperlink>
      <w:r>
        <w:rPr>
          <w:rFonts w:ascii="Times New Roman" w:hAnsi="Times New Roman" w:cs="Times New Roman"/>
          <w:sz w:val="20"/>
          <w:szCs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2015 г. N 277 "О внесении изменений в некоторые акты Правительства Российской Федерации" (Собрание законодательства Российской Федерации, 2015, N 14, ст. 2123).</w:t>
      </w:r>
    </w:p>
    <w:p w:rsidR="005F7112" w:rsidRDefault="005F7112" w:rsidP="005F7112">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w:t>
      </w:r>
      <w:hyperlink r:id="rId202" w:history="1">
        <w:r>
          <w:rPr>
            <w:rFonts w:ascii="Times New Roman" w:hAnsi="Times New Roman" w:cs="Times New Roman"/>
            <w:color w:val="0000FF"/>
            <w:sz w:val="20"/>
            <w:szCs w:val="20"/>
          </w:rPr>
          <w:t>Пункт 29</w:t>
        </w:r>
      </w:hyperlink>
      <w:r>
        <w:rPr>
          <w:rFonts w:ascii="Times New Roman" w:hAnsi="Times New Roman" w:cs="Times New Roman"/>
          <w:sz w:val="20"/>
          <w:szCs w:val="20"/>
        </w:rPr>
        <w:t xml:space="preserve"> изменений, которые вносятся в акты Правительства Российской Федерации в связи с упразднением Федеральной службы по тарифам, утвержденных постановлением Правительства </w:t>
      </w:r>
      <w:r>
        <w:rPr>
          <w:rFonts w:ascii="Times New Roman" w:hAnsi="Times New Roman" w:cs="Times New Roman"/>
          <w:sz w:val="20"/>
          <w:szCs w:val="20"/>
        </w:rPr>
        <w:lastRenderedPageBreak/>
        <w:t>Российской Федерации от 4 сентября 2015 г. N 941 "О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 (Собрание законодательства Российской Федерации, 2015, N 37, ст. 5153).</w:t>
      </w: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autoSpaceDE w:val="0"/>
        <w:autoSpaceDN w:val="0"/>
        <w:adjustRightInd w:val="0"/>
        <w:spacing w:after="0" w:line="240" w:lineRule="auto"/>
        <w:jc w:val="both"/>
        <w:rPr>
          <w:rFonts w:ascii="Times New Roman" w:hAnsi="Times New Roman" w:cs="Times New Roman"/>
          <w:sz w:val="20"/>
          <w:szCs w:val="20"/>
        </w:rPr>
      </w:pPr>
    </w:p>
    <w:p w:rsidR="005F7112" w:rsidRDefault="005F7112" w:rsidP="005F7112">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33798" w:rsidRDefault="00E33798">
      <w:bookmarkStart w:id="66" w:name="_GoBack"/>
      <w:bookmarkEnd w:id="66"/>
    </w:p>
    <w:sectPr w:rsidR="00E33798" w:rsidSect="00884B93">
      <w:pgSz w:w="11905" w:h="16836"/>
      <w:pgMar w:top="1134" w:right="1275" w:bottom="567" w:left="155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12"/>
    <w:rsid w:val="005F7112"/>
    <w:rsid w:val="00E3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60017-60DC-413E-AD6D-B6CA1C18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7095&amp;dst=100030" TargetMode="External"/><Relationship Id="rId21" Type="http://schemas.openxmlformats.org/officeDocument/2006/relationships/hyperlink" Target="https://login.consultant.ru/link/?req=doc&amp;base=LAW&amp;n=458970&amp;dst=100005" TargetMode="External"/><Relationship Id="rId42" Type="http://schemas.openxmlformats.org/officeDocument/2006/relationships/hyperlink" Target="https://login.consultant.ru/link/?req=doc&amp;base=LAW&amp;n=434283&amp;dst=100005" TargetMode="External"/><Relationship Id="rId63" Type="http://schemas.openxmlformats.org/officeDocument/2006/relationships/hyperlink" Target="https://login.consultant.ru/link/?req=doc&amp;base=LAW&amp;n=403082&amp;dst=100027" TargetMode="External"/><Relationship Id="rId84" Type="http://schemas.openxmlformats.org/officeDocument/2006/relationships/hyperlink" Target="https://login.consultant.ru/link/?req=doc&amp;base=LAW&amp;n=403082&amp;dst=100038" TargetMode="External"/><Relationship Id="rId138" Type="http://schemas.openxmlformats.org/officeDocument/2006/relationships/hyperlink" Target="https://login.consultant.ru/link/?req=doc&amp;base=LAW&amp;n=477880&amp;dst=100028" TargetMode="External"/><Relationship Id="rId159" Type="http://schemas.openxmlformats.org/officeDocument/2006/relationships/hyperlink" Target="https://login.consultant.ru/link/?req=doc&amp;base=LAW&amp;n=401989&amp;dst=42" TargetMode="External"/><Relationship Id="rId170" Type="http://schemas.openxmlformats.org/officeDocument/2006/relationships/hyperlink" Target="https://login.consultant.ru/link/?req=doc&amp;base=LAW&amp;n=380210&amp;dst=100041" TargetMode="External"/><Relationship Id="rId191" Type="http://schemas.openxmlformats.org/officeDocument/2006/relationships/hyperlink" Target="https://login.consultant.ru/link/?req=doc&amp;base=LAW&amp;n=471232&amp;dst=600" TargetMode="External"/><Relationship Id="rId107" Type="http://schemas.openxmlformats.org/officeDocument/2006/relationships/hyperlink" Target="https://login.consultant.ru/link/?req=doc&amp;base=LAW&amp;n=448705&amp;dst=100039" TargetMode="External"/><Relationship Id="rId11" Type="http://schemas.openxmlformats.org/officeDocument/2006/relationships/hyperlink" Target="https://login.consultant.ru/link/?req=doc&amp;base=LAW&amp;n=477880&amp;dst=100019" TargetMode="External"/><Relationship Id="rId32" Type="http://schemas.openxmlformats.org/officeDocument/2006/relationships/hyperlink" Target="https://login.consultant.ru/link/?req=doc&amp;base=LAW&amp;n=309400&amp;dst=100014" TargetMode="External"/><Relationship Id="rId53" Type="http://schemas.openxmlformats.org/officeDocument/2006/relationships/hyperlink" Target="https://login.consultant.ru/link/?req=doc&amp;base=LAW&amp;n=380210&amp;dst=100012" TargetMode="External"/><Relationship Id="rId74" Type="http://schemas.openxmlformats.org/officeDocument/2006/relationships/hyperlink" Target="https://login.consultant.ru/link/?req=doc&amp;base=LAW&amp;n=323214&amp;dst=100012" TargetMode="External"/><Relationship Id="rId128" Type="http://schemas.openxmlformats.org/officeDocument/2006/relationships/hyperlink" Target="https://login.consultant.ru/link/?req=doc&amp;base=LAW&amp;n=403082&amp;dst=100039" TargetMode="External"/><Relationship Id="rId149" Type="http://schemas.openxmlformats.org/officeDocument/2006/relationships/hyperlink" Target="https://login.consultant.ru/link/?req=doc&amp;base=LAW&amp;n=477879&amp;dst=100041" TargetMode="External"/><Relationship Id="rId5" Type="http://schemas.openxmlformats.org/officeDocument/2006/relationships/hyperlink" Target="https://login.consultant.ru/link/?req=doc&amp;base=LAW&amp;n=206495&amp;dst=100039" TargetMode="External"/><Relationship Id="rId95" Type="http://schemas.openxmlformats.org/officeDocument/2006/relationships/hyperlink" Target="https://login.consultant.ru/link/?req=doc&amp;base=LAW&amp;n=402355&amp;dst=100014" TargetMode="External"/><Relationship Id="rId160" Type="http://schemas.openxmlformats.org/officeDocument/2006/relationships/hyperlink" Target="https://login.consultant.ru/link/?req=doc&amp;base=LAW&amp;n=482981&amp;dst=1396" TargetMode="External"/><Relationship Id="rId181" Type="http://schemas.openxmlformats.org/officeDocument/2006/relationships/hyperlink" Target="https://login.consultant.ru/link/?req=doc&amp;base=LAW&amp;n=471232" TargetMode="External"/><Relationship Id="rId22" Type="http://schemas.openxmlformats.org/officeDocument/2006/relationships/hyperlink" Target="https://login.consultant.ru/link/?req=doc&amp;base=LAW&amp;n=468641&amp;dst=100005" TargetMode="External"/><Relationship Id="rId43" Type="http://schemas.openxmlformats.org/officeDocument/2006/relationships/hyperlink" Target="https://login.consultant.ru/link/?req=doc&amp;base=LAW&amp;n=403082&amp;dst=100023" TargetMode="External"/><Relationship Id="rId64" Type="http://schemas.openxmlformats.org/officeDocument/2006/relationships/hyperlink" Target="https://login.consultant.ru/link/?req=doc&amp;base=LAW&amp;n=481604&amp;dst=101521" TargetMode="External"/><Relationship Id="rId118" Type="http://schemas.openxmlformats.org/officeDocument/2006/relationships/hyperlink" Target="https://login.consultant.ru/link/?req=doc&amp;base=LAW&amp;n=448705&amp;dst=100045" TargetMode="External"/><Relationship Id="rId139" Type="http://schemas.openxmlformats.org/officeDocument/2006/relationships/hyperlink" Target="https://login.consultant.ru/link/?req=doc&amp;base=LAW&amp;n=477879&amp;dst=100036" TargetMode="External"/><Relationship Id="rId85" Type="http://schemas.openxmlformats.org/officeDocument/2006/relationships/hyperlink" Target="https://login.consultant.ru/link/?req=doc&amp;base=LAW&amp;n=402355&amp;dst=100010" TargetMode="External"/><Relationship Id="rId150" Type="http://schemas.openxmlformats.org/officeDocument/2006/relationships/hyperlink" Target="https://login.consultant.ru/link/?req=doc&amp;base=LAW&amp;n=471232&amp;dst=637" TargetMode="External"/><Relationship Id="rId171" Type="http://schemas.openxmlformats.org/officeDocument/2006/relationships/hyperlink" Target="https://login.consultant.ru/link/?req=doc&amp;base=LAW&amp;n=403082&amp;dst=100042" TargetMode="External"/><Relationship Id="rId192" Type="http://schemas.openxmlformats.org/officeDocument/2006/relationships/hyperlink" Target="https://login.consultant.ru/link/?req=doc&amp;base=LAW&amp;n=294756&amp;dst=100005" TargetMode="External"/><Relationship Id="rId12" Type="http://schemas.openxmlformats.org/officeDocument/2006/relationships/hyperlink" Target="https://login.consultant.ru/link/?req=doc&amp;base=LAW&amp;n=309400&amp;dst=100014" TargetMode="External"/><Relationship Id="rId33" Type="http://schemas.openxmlformats.org/officeDocument/2006/relationships/hyperlink" Target="https://login.consultant.ru/link/?req=doc&amp;base=LAW&amp;n=477879&amp;dst=100036" TargetMode="External"/><Relationship Id="rId108" Type="http://schemas.openxmlformats.org/officeDocument/2006/relationships/hyperlink" Target="https://login.consultant.ru/link/?req=doc&amp;base=LAW&amp;n=448705&amp;dst=100043" TargetMode="External"/><Relationship Id="rId129" Type="http://schemas.openxmlformats.org/officeDocument/2006/relationships/hyperlink" Target="https://login.consultant.ru/link/?req=doc&amp;base=LAW&amp;n=468091&amp;dst=100006" TargetMode="External"/><Relationship Id="rId54" Type="http://schemas.openxmlformats.org/officeDocument/2006/relationships/hyperlink" Target="https://login.consultant.ru/link/?req=doc&amp;base=LAW&amp;n=309400&amp;dst=100014" TargetMode="External"/><Relationship Id="rId75" Type="http://schemas.openxmlformats.org/officeDocument/2006/relationships/hyperlink" Target="https://login.consultant.ru/link/?req=doc&amp;base=LAW&amp;n=323214&amp;dst=100014" TargetMode="External"/><Relationship Id="rId96" Type="http://schemas.openxmlformats.org/officeDocument/2006/relationships/hyperlink" Target="https://login.consultant.ru/link/?req=doc&amp;base=LAW&amp;n=402355&amp;dst=100015" TargetMode="External"/><Relationship Id="rId140" Type="http://schemas.openxmlformats.org/officeDocument/2006/relationships/hyperlink" Target="https://login.consultant.ru/link/?req=doc&amp;base=LAW&amp;n=402355&amp;dst=100020" TargetMode="External"/><Relationship Id="rId161" Type="http://schemas.openxmlformats.org/officeDocument/2006/relationships/hyperlink" Target="https://login.consultant.ru/link/?req=doc&amp;base=LAW&amp;n=401989&amp;dst=60" TargetMode="External"/><Relationship Id="rId182" Type="http://schemas.openxmlformats.org/officeDocument/2006/relationships/hyperlink" Target="https://login.consultant.ru/link/?req=doc&amp;base=LAW&amp;n=403082&amp;dst=100044" TargetMode="External"/><Relationship Id="rId6" Type="http://schemas.openxmlformats.org/officeDocument/2006/relationships/hyperlink" Target="https://login.consultant.ru/link/?req=doc&amp;base=LAW&amp;n=210188&amp;dst=100654" TargetMode="External"/><Relationship Id="rId23" Type="http://schemas.openxmlformats.org/officeDocument/2006/relationships/hyperlink" Target="https://login.consultant.ru/link/?req=doc&amp;base=LAW&amp;n=434283&amp;dst=100005" TargetMode="External"/><Relationship Id="rId119" Type="http://schemas.openxmlformats.org/officeDocument/2006/relationships/hyperlink" Target="https://login.consultant.ru/link/?req=doc&amp;base=LAW&amp;n=434283&amp;dst=100005" TargetMode="External"/><Relationship Id="rId44" Type="http://schemas.openxmlformats.org/officeDocument/2006/relationships/hyperlink" Target="https://login.consultant.ru/link/?req=doc&amp;base=LAW&amp;n=429803&amp;dst=100010" TargetMode="External"/><Relationship Id="rId65" Type="http://schemas.openxmlformats.org/officeDocument/2006/relationships/image" Target="media/image1.wmf"/><Relationship Id="rId86" Type="http://schemas.openxmlformats.org/officeDocument/2006/relationships/hyperlink" Target="https://login.consultant.ru/link/?req=doc&amp;base=LAW&amp;n=337095&amp;dst=100009" TargetMode="External"/><Relationship Id="rId130" Type="http://schemas.openxmlformats.org/officeDocument/2006/relationships/hyperlink" Target="https://login.consultant.ru/link/?req=doc&amp;base=LAW&amp;n=477880&amp;dst=100023" TargetMode="External"/><Relationship Id="rId151" Type="http://schemas.openxmlformats.org/officeDocument/2006/relationships/hyperlink" Target="https://login.consultant.ru/link/?req=doc&amp;base=LAW&amp;n=403082&amp;dst=100040" TargetMode="External"/><Relationship Id="rId172" Type="http://schemas.openxmlformats.org/officeDocument/2006/relationships/hyperlink" Target="https://login.consultant.ru/link/?req=doc&amp;base=LAW&amp;n=429803&amp;dst=100016" TargetMode="External"/><Relationship Id="rId193" Type="http://schemas.openxmlformats.org/officeDocument/2006/relationships/hyperlink" Target="https://login.consultant.ru/link/?req=doc&amp;base=LAW&amp;n=185852" TargetMode="External"/><Relationship Id="rId13" Type="http://schemas.openxmlformats.org/officeDocument/2006/relationships/hyperlink" Target="https://login.consultant.ru/link/?req=doc&amp;base=LAW&amp;n=477879&amp;dst=100036" TargetMode="External"/><Relationship Id="rId109" Type="http://schemas.openxmlformats.org/officeDocument/2006/relationships/hyperlink" Target="https://login.consultant.ru/link/?req=doc&amp;base=LAW&amp;n=403082&amp;dst=100038" TargetMode="External"/><Relationship Id="rId34" Type="http://schemas.openxmlformats.org/officeDocument/2006/relationships/hyperlink" Target="https://login.consultant.ru/link/?req=doc&amp;base=LAW&amp;n=323214&amp;dst=100010" TargetMode="External"/><Relationship Id="rId55" Type="http://schemas.openxmlformats.org/officeDocument/2006/relationships/hyperlink" Target="https://login.consultant.ru/link/?req=doc&amp;base=LAW&amp;n=481604&amp;dst=101521" TargetMode="External"/><Relationship Id="rId76" Type="http://schemas.openxmlformats.org/officeDocument/2006/relationships/hyperlink" Target="https://login.consultant.ru/link/?req=doc&amp;base=LAW&amp;n=471232&amp;dst=444" TargetMode="External"/><Relationship Id="rId97" Type="http://schemas.openxmlformats.org/officeDocument/2006/relationships/hyperlink" Target="https://login.consultant.ru/link/?req=doc&amp;base=LAW&amp;n=337095&amp;dst=100013" TargetMode="External"/><Relationship Id="rId120" Type="http://schemas.openxmlformats.org/officeDocument/2006/relationships/hyperlink" Target="https://login.consultant.ru/link/?req=doc&amp;base=LAW&amp;n=403082&amp;dst=100038" TargetMode="External"/><Relationship Id="rId141" Type="http://schemas.openxmlformats.org/officeDocument/2006/relationships/hyperlink" Target="https://login.consultant.ru/link/?req=doc&amp;base=LAW&amp;n=429803&amp;dst=100015" TargetMode="External"/><Relationship Id="rId7" Type="http://schemas.openxmlformats.org/officeDocument/2006/relationships/hyperlink" Target="https://login.consultant.ru/link/?req=doc&amp;base=LAW&amp;n=216426&amp;dst=100027" TargetMode="External"/><Relationship Id="rId162" Type="http://schemas.openxmlformats.org/officeDocument/2006/relationships/hyperlink" Target="https://login.consultant.ru/link/?req=doc&amp;base=LAW&amp;n=414372&amp;dst=100011" TargetMode="External"/><Relationship Id="rId183" Type="http://schemas.openxmlformats.org/officeDocument/2006/relationships/hyperlink" Target="https://login.consultant.ru/link/?req=doc&amp;base=LAW&amp;n=429803&amp;dst=100018" TargetMode="External"/><Relationship Id="rId2" Type="http://schemas.openxmlformats.org/officeDocument/2006/relationships/settings" Target="settings.xml"/><Relationship Id="rId29" Type="http://schemas.openxmlformats.org/officeDocument/2006/relationships/hyperlink" Target="https://login.consultant.ru/link/?req=doc&amp;base=LAW&amp;n=448705&amp;dst=100036" TargetMode="External"/><Relationship Id="rId24" Type="http://schemas.openxmlformats.org/officeDocument/2006/relationships/hyperlink" Target="https://login.consultant.ru/link/?req=doc&amp;base=LAW&amp;n=471232&amp;dst=448" TargetMode="External"/><Relationship Id="rId40" Type="http://schemas.openxmlformats.org/officeDocument/2006/relationships/hyperlink" Target="https://login.consultant.ru/link/?req=doc&amp;base=LAW&amp;n=429803&amp;dst=100009" TargetMode="External"/><Relationship Id="rId45" Type="http://schemas.openxmlformats.org/officeDocument/2006/relationships/hyperlink" Target="https://login.consultant.ru/link/?req=doc&amp;base=LAW&amp;n=477880&amp;dst=100020" TargetMode="External"/><Relationship Id="rId66" Type="http://schemas.openxmlformats.org/officeDocument/2006/relationships/image" Target="media/image2.wmf"/><Relationship Id="rId87" Type="http://schemas.openxmlformats.org/officeDocument/2006/relationships/hyperlink" Target="https://login.consultant.ru/link/?req=doc&amp;base=LAW&amp;n=431832&amp;dst=378" TargetMode="External"/><Relationship Id="rId110" Type="http://schemas.openxmlformats.org/officeDocument/2006/relationships/hyperlink" Target="https://login.consultant.ru/link/?req=doc&amp;base=LAW&amp;n=337095&amp;dst=100024" TargetMode="External"/><Relationship Id="rId115" Type="http://schemas.openxmlformats.org/officeDocument/2006/relationships/hyperlink" Target="https://login.consultant.ru/link/?req=doc&amp;base=LAW&amp;n=216426&amp;dst=100033" TargetMode="External"/><Relationship Id="rId131" Type="http://schemas.openxmlformats.org/officeDocument/2006/relationships/hyperlink" Target="https://login.consultant.ru/link/?req=doc&amp;base=LAW&amp;n=402355&amp;dst=100016" TargetMode="External"/><Relationship Id="rId136" Type="http://schemas.openxmlformats.org/officeDocument/2006/relationships/hyperlink" Target="https://login.consultant.ru/link/?req=doc&amp;base=LAW&amp;n=380210&amp;dst=100021" TargetMode="External"/><Relationship Id="rId157" Type="http://schemas.openxmlformats.org/officeDocument/2006/relationships/hyperlink" Target="https://login.consultant.ru/link/?req=doc&amp;base=LAW&amp;n=380210&amp;dst=100027" TargetMode="External"/><Relationship Id="rId178" Type="http://schemas.openxmlformats.org/officeDocument/2006/relationships/hyperlink" Target="https://login.consultant.ru/link/?req=doc&amp;base=LAW&amp;n=206495&amp;dst=100042" TargetMode="External"/><Relationship Id="rId61" Type="http://schemas.openxmlformats.org/officeDocument/2006/relationships/hyperlink" Target="https://login.consultant.ru/link/?req=doc&amp;base=LAW&amp;n=12453&amp;dst=100163" TargetMode="External"/><Relationship Id="rId82" Type="http://schemas.openxmlformats.org/officeDocument/2006/relationships/hyperlink" Target="https://login.consultant.ru/link/?req=doc&amp;base=LAW&amp;n=403082&amp;dst=100038" TargetMode="External"/><Relationship Id="rId152" Type="http://schemas.openxmlformats.org/officeDocument/2006/relationships/hyperlink" Target="https://login.consultant.ru/link/?req=doc&amp;base=LAW&amp;n=414372&amp;dst=100011" TargetMode="External"/><Relationship Id="rId173" Type="http://schemas.openxmlformats.org/officeDocument/2006/relationships/hyperlink" Target="https://login.consultant.ru/link/?req=doc&amp;base=LAW&amp;n=468641&amp;dst=100005" TargetMode="External"/><Relationship Id="rId194" Type="http://schemas.openxmlformats.org/officeDocument/2006/relationships/hyperlink" Target="https://login.consultant.ru/link/?req=doc&amp;base=LAW&amp;n=91707" TargetMode="External"/><Relationship Id="rId199" Type="http://schemas.openxmlformats.org/officeDocument/2006/relationships/hyperlink" Target="https://login.consultant.ru/link/?req=doc&amp;base=LAW&amp;n=152845" TargetMode="External"/><Relationship Id="rId203" Type="http://schemas.openxmlformats.org/officeDocument/2006/relationships/fontTable" Target="fontTable.xml"/><Relationship Id="rId19" Type="http://schemas.openxmlformats.org/officeDocument/2006/relationships/hyperlink" Target="https://login.consultant.ru/link/?req=doc&amp;base=LAW&amp;n=403082&amp;dst=100021" TargetMode="External"/><Relationship Id="rId14" Type="http://schemas.openxmlformats.org/officeDocument/2006/relationships/hyperlink" Target="https://login.consultant.ru/link/?req=doc&amp;base=LAW&amp;n=323214&amp;dst=100005" TargetMode="External"/><Relationship Id="rId30" Type="http://schemas.openxmlformats.org/officeDocument/2006/relationships/hyperlink" Target="https://login.consultant.ru/link/?req=doc&amp;base=LAW&amp;n=303387&amp;dst=100005" TargetMode="External"/><Relationship Id="rId35" Type="http://schemas.openxmlformats.org/officeDocument/2006/relationships/hyperlink" Target="https://login.consultant.ru/link/?req=doc&amp;base=LAW&amp;n=333378&amp;dst=100019" TargetMode="External"/><Relationship Id="rId56" Type="http://schemas.openxmlformats.org/officeDocument/2006/relationships/hyperlink" Target="https://login.consultant.ru/link/?req=doc&amp;base=LAW&amp;n=403082&amp;dst=100026" TargetMode="External"/><Relationship Id="rId77" Type="http://schemas.openxmlformats.org/officeDocument/2006/relationships/hyperlink" Target="https://login.consultant.ru/link/?req=doc&amp;base=LAW&amp;n=403082&amp;dst=100037" TargetMode="External"/><Relationship Id="rId100" Type="http://schemas.openxmlformats.org/officeDocument/2006/relationships/hyperlink" Target="https://login.consultant.ru/link/?req=doc&amp;base=LAW&amp;n=337095&amp;dst=100016" TargetMode="External"/><Relationship Id="rId105" Type="http://schemas.openxmlformats.org/officeDocument/2006/relationships/hyperlink" Target="https://login.consultant.ru/link/?req=doc&amp;base=LAW&amp;n=337095&amp;dst=100022" TargetMode="External"/><Relationship Id="rId126" Type="http://schemas.openxmlformats.org/officeDocument/2006/relationships/hyperlink" Target="https://login.consultant.ru/link/?req=doc&amp;base=LAW&amp;n=220972" TargetMode="External"/><Relationship Id="rId147" Type="http://schemas.openxmlformats.org/officeDocument/2006/relationships/hyperlink" Target="https://login.consultant.ru/link/?req=doc&amp;base=LAW&amp;n=402355&amp;dst=100027" TargetMode="External"/><Relationship Id="rId168" Type="http://schemas.openxmlformats.org/officeDocument/2006/relationships/hyperlink" Target="https://login.consultant.ru/link/?req=doc&amp;base=LAW&amp;n=294756&amp;dst=100005" TargetMode="External"/><Relationship Id="rId8" Type="http://schemas.openxmlformats.org/officeDocument/2006/relationships/hyperlink" Target="https://login.consultant.ru/link/?req=doc&amp;base=LAW&amp;n=294756&amp;dst=100005" TargetMode="External"/><Relationship Id="rId51" Type="http://schemas.openxmlformats.org/officeDocument/2006/relationships/hyperlink" Target="https://login.consultant.ru/link/?req=doc&amp;base=LAW&amp;n=403082&amp;dst=100024" TargetMode="External"/><Relationship Id="rId72" Type="http://schemas.openxmlformats.org/officeDocument/2006/relationships/hyperlink" Target="https://login.consultant.ru/link/?req=doc&amp;base=LAW&amp;n=431297&amp;dst=100223" TargetMode="External"/><Relationship Id="rId93" Type="http://schemas.openxmlformats.org/officeDocument/2006/relationships/hyperlink" Target="https://login.consultant.ru/link/?req=doc&amp;base=LAW&amp;n=482899" TargetMode="External"/><Relationship Id="rId98" Type="http://schemas.openxmlformats.org/officeDocument/2006/relationships/hyperlink" Target="https://login.consultant.ru/link/?req=doc&amp;base=LAW&amp;n=482899" TargetMode="External"/><Relationship Id="rId121" Type="http://schemas.openxmlformats.org/officeDocument/2006/relationships/hyperlink" Target="https://login.consultant.ru/link/?req=doc&amp;base=LAW&amp;n=434283&amp;dst=100005" TargetMode="External"/><Relationship Id="rId142" Type="http://schemas.openxmlformats.org/officeDocument/2006/relationships/hyperlink" Target="https://login.consultant.ru/link/?req=doc&amp;base=LAW&amp;n=402355&amp;dst=100021" TargetMode="External"/><Relationship Id="rId163" Type="http://schemas.openxmlformats.org/officeDocument/2006/relationships/hyperlink" Target="https://login.consultant.ru/link/?req=doc&amp;base=LAW&amp;n=380210&amp;dst=100040" TargetMode="External"/><Relationship Id="rId184" Type="http://schemas.openxmlformats.org/officeDocument/2006/relationships/hyperlink" Target="https://login.consultant.ru/link/?req=doc&amp;base=LAW&amp;n=414372&amp;dst=100011" TargetMode="External"/><Relationship Id="rId189" Type="http://schemas.openxmlformats.org/officeDocument/2006/relationships/hyperlink" Target="https://login.consultant.ru/link/?req=doc&amp;base=LAW&amp;n=468641&amp;dst=100011"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14372&amp;dst=100011" TargetMode="External"/><Relationship Id="rId46" Type="http://schemas.openxmlformats.org/officeDocument/2006/relationships/hyperlink" Target="https://login.consultant.ru/link/?req=doc&amp;base=LAW&amp;n=471232" TargetMode="External"/><Relationship Id="rId67" Type="http://schemas.openxmlformats.org/officeDocument/2006/relationships/hyperlink" Target="https://login.consultant.ru/link/?req=doc&amp;base=LAW&amp;n=481604&amp;dst=101521" TargetMode="External"/><Relationship Id="rId116" Type="http://schemas.openxmlformats.org/officeDocument/2006/relationships/hyperlink" Target="https://login.consultant.ru/link/?req=doc&amp;base=LAW&amp;n=216426&amp;dst=100034" TargetMode="External"/><Relationship Id="rId137" Type="http://schemas.openxmlformats.org/officeDocument/2006/relationships/hyperlink" Target="https://login.consultant.ru/link/?req=doc&amp;base=LAW&amp;n=303387&amp;dst=100018" TargetMode="External"/><Relationship Id="rId158" Type="http://schemas.openxmlformats.org/officeDocument/2006/relationships/hyperlink" Target="https://login.consultant.ru/link/?req=doc&amp;base=LAW&amp;n=380210&amp;dst=100039" TargetMode="External"/><Relationship Id="rId20" Type="http://schemas.openxmlformats.org/officeDocument/2006/relationships/hyperlink" Target="https://login.consultant.ru/link/?req=doc&amp;base=LAW&amp;n=429803&amp;dst=100005" TargetMode="External"/><Relationship Id="rId41" Type="http://schemas.openxmlformats.org/officeDocument/2006/relationships/hyperlink" Target="https://login.consultant.ru/link/?req=doc&amp;base=LAW&amp;n=458970&amp;dst=100005" TargetMode="External"/><Relationship Id="rId62" Type="http://schemas.openxmlformats.org/officeDocument/2006/relationships/hyperlink" Target="https://login.consultant.ru/link/?req=doc&amp;base=LAW&amp;n=434283&amp;dst=100005" TargetMode="External"/><Relationship Id="rId83" Type="http://schemas.openxmlformats.org/officeDocument/2006/relationships/hyperlink" Target="https://login.consultant.ru/link/?req=doc&amp;base=LAW&amp;n=403082&amp;dst=100038" TargetMode="External"/><Relationship Id="rId88" Type="http://schemas.openxmlformats.org/officeDocument/2006/relationships/hyperlink" Target="https://login.consultant.ru/link/?req=doc&amp;base=LAW&amp;n=337095&amp;dst=100011" TargetMode="External"/><Relationship Id="rId111" Type="http://schemas.openxmlformats.org/officeDocument/2006/relationships/hyperlink" Target="https://login.consultant.ru/link/?req=doc&amp;base=LAW&amp;n=337095&amp;dst=100027" TargetMode="External"/><Relationship Id="rId132" Type="http://schemas.openxmlformats.org/officeDocument/2006/relationships/hyperlink" Target="https://login.consultant.ru/link/?req=doc&amp;base=LAW&amp;n=458970&amp;dst=100005" TargetMode="External"/><Relationship Id="rId153" Type="http://schemas.openxmlformats.org/officeDocument/2006/relationships/hyperlink" Target="https://login.consultant.ru/link/?req=doc&amp;base=LAW&amp;n=380210&amp;dst=100024" TargetMode="External"/><Relationship Id="rId174" Type="http://schemas.openxmlformats.org/officeDocument/2006/relationships/hyperlink" Target="https://login.consultant.ru/link/?req=doc&amp;base=LAW&amp;n=429803&amp;dst=100017" TargetMode="External"/><Relationship Id="rId179" Type="http://schemas.openxmlformats.org/officeDocument/2006/relationships/hyperlink" Target="https://login.consultant.ru/link/?req=doc&amp;base=LAW&amp;n=323214&amp;dst=100019" TargetMode="External"/><Relationship Id="rId195" Type="http://schemas.openxmlformats.org/officeDocument/2006/relationships/hyperlink" Target="https://login.consultant.ru/link/?req=doc&amp;base=LAW&amp;n=171098" TargetMode="External"/><Relationship Id="rId190" Type="http://schemas.openxmlformats.org/officeDocument/2006/relationships/hyperlink" Target="https://login.consultant.ru/link/?req=doc&amp;base=LAW&amp;n=471232&amp;dst=599" TargetMode="External"/><Relationship Id="rId204" Type="http://schemas.openxmlformats.org/officeDocument/2006/relationships/theme" Target="theme/theme1.xml"/><Relationship Id="rId15" Type="http://schemas.openxmlformats.org/officeDocument/2006/relationships/hyperlink" Target="https://login.consultant.ru/link/?req=doc&amp;base=LAW&amp;n=333378&amp;dst=100019" TargetMode="External"/><Relationship Id="rId36" Type="http://schemas.openxmlformats.org/officeDocument/2006/relationships/hyperlink" Target="https://login.consultant.ru/link/?req=doc&amp;base=LAW&amp;n=337095&amp;dst=100005" TargetMode="External"/><Relationship Id="rId57" Type="http://schemas.openxmlformats.org/officeDocument/2006/relationships/hyperlink" Target="https://login.consultant.ru/link/?req=doc&amp;base=LAW&amp;n=471232&amp;dst=100154" TargetMode="External"/><Relationship Id="rId106" Type="http://schemas.openxmlformats.org/officeDocument/2006/relationships/hyperlink" Target="https://login.consultant.ru/link/?req=doc&amp;base=LAW&amp;n=448705&amp;dst=100013" TargetMode="External"/><Relationship Id="rId127" Type="http://schemas.openxmlformats.org/officeDocument/2006/relationships/hyperlink" Target="https://login.consultant.ru/link/?req=doc&amp;base=LAW&amp;n=220972" TargetMode="External"/><Relationship Id="rId10" Type="http://schemas.openxmlformats.org/officeDocument/2006/relationships/hyperlink" Target="https://login.consultant.ru/link/?req=doc&amp;base=LAW&amp;n=303387&amp;dst=100005" TargetMode="External"/><Relationship Id="rId31" Type="http://schemas.openxmlformats.org/officeDocument/2006/relationships/hyperlink" Target="https://login.consultant.ru/link/?req=doc&amp;base=LAW&amp;n=477880&amp;dst=100019" TargetMode="External"/><Relationship Id="rId52" Type="http://schemas.openxmlformats.org/officeDocument/2006/relationships/hyperlink" Target="https://login.consultant.ru/link/?req=doc&amp;base=LAW&amp;n=303387&amp;dst=100011" TargetMode="External"/><Relationship Id="rId73" Type="http://schemas.openxmlformats.org/officeDocument/2006/relationships/hyperlink" Target="https://login.consultant.ru/link/?req=doc&amp;base=LAW&amp;n=206495&amp;dst=100040" TargetMode="External"/><Relationship Id="rId78" Type="http://schemas.openxmlformats.org/officeDocument/2006/relationships/hyperlink" Target="https://login.consultant.ru/link/?req=doc&amp;base=LAW&amp;n=429803&amp;dst=100011" TargetMode="External"/><Relationship Id="rId94" Type="http://schemas.openxmlformats.org/officeDocument/2006/relationships/hyperlink" Target="https://login.consultant.ru/link/?req=doc&amp;base=LAW&amp;n=402355&amp;dst=100012" TargetMode="External"/><Relationship Id="rId99" Type="http://schemas.openxmlformats.org/officeDocument/2006/relationships/hyperlink" Target="https://login.consultant.ru/link/?req=doc&amp;base=LAW&amp;n=303387&amp;dst=100013" TargetMode="External"/><Relationship Id="rId101" Type="http://schemas.openxmlformats.org/officeDocument/2006/relationships/hyperlink" Target="https://login.consultant.ru/link/?req=doc&amp;base=LAW&amp;n=216426&amp;dst=100028" TargetMode="External"/><Relationship Id="rId122" Type="http://schemas.openxmlformats.org/officeDocument/2006/relationships/hyperlink" Target="https://login.consultant.ru/link/?req=doc&amp;base=LAW&amp;n=448705&amp;dst=100047" TargetMode="External"/><Relationship Id="rId143" Type="http://schemas.openxmlformats.org/officeDocument/2006/relationships/hyperlink" Target="https://login.consultant.ru/link/?req=doc&amp;base=LAW&amp;n=402355&amp;dst=100023" TargetMode="External"/><Relationship Id="rId148" Type="http://schemas.openxmlformats.org/officeDocument/2006/relationships/hyperlink" Target="https://login.consultant.ru/link/?req=doc&amp;base=LAW&amp;n=477879&amp;dst=100040" TargetMode="External"/><Relationship Id="rId164" Type="http://schemas.openxmlformats.org/officeDocument/2006/relationships/hyperlink" Target="https://login.consultant.ru/link/?req=doc&amp;base=LAW&amp;n=414372&amp;dst=100606" TargetMode="External"/><Relationship Id="rId169" Type="http://schemas.openxmlformats.org/officeDocument/2006/relationships/hyperlink" Target="https://login.consultant.ru/link/?req=doc&amp;base=LAW&amp;n=323214&amp;dst=100017" TargetMode="External"/><Relationship Id="rId185" Type="http://schemas.openxmlformats.org/officeDocument/2006/relationships/hyperlink" Target="https://login.consultant.ru/link/?req=doc&amp;base=LAW&amp;n=380210&amp;dst=10004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8705&amp;dst=100036" TargetMode="External"/><Relationship Id="rId180" Type="http://schemas.openxmlformats.org/officeDocument/2006/relationships/hyperlink" Target="https://login.consultant.ru/link/?req=doc&amp;base=LAW&amp;n=414372&amp;dst=100011" TargetMode="External"/><Relationship Id="rId26" Type="http://schemas.openxmlformats.org/officeDocument/2006/relationships/hyperlink" Target="https://login.consultant.ru/link/?req=doc&amp;base=LAW&amp;n=210188&amp;dst=100654" TargetMode="External"/><Relationship Id="rId47" Type="http://schemas.openxmlformats.org/officeDocument/2006/relationships/hyperlink" Target="https://login.consultant.ru/link/?req=doc&amp;base=LAW&amp;n=414372&amp;dst=100011" TargetMode="External"/><Relationship Id="rId68" Type="http://schemas.openxmlformats.org/officeDocument/2006/relationships/hyperlink" Target="https://login.consultant.ru/link/?req=doc&amp;base=LAW&amp;n=403082&amp;dst=100028" TargetMode="External"/><Relationship Id="rId89" Type="http://schemas.openxmlformats.org/officeDocument/2006/relationships/hyperlink" Target="https://login.consultant.ru/link/?req=doc&amp;base=LAW&amp;n=337095&amp;dst=100012" TargetMode="External"/><Relationship Id="rId112" Type="http://schemas.openxmlformats.org/officeDocument/2006/relationships/hyperlink" Target="https://login.consultant.ru/link/?req=doc&amp;base=LAW&amp;n=220972" TargetMode="External"/><Relationship Id="rId133" Type="http://schemas.openxmlformats.org/officeDocument/2006/relationships/hyperlink" Target="https://login.consultant.ru/link/?req=doc&amp;base=LAW&amp;n=477880&amp;dst=100025" TargetMode="External"/><Relationship Id="rId154" Type="http://schemas.openxmlformats.org/officeDocument/2006/relationships/hyperlink" Target="https://login.consultant.ru/link/?req=doc&amp;base=LAW&amp;n=380210&amp;dst=100026" TargetMode="External"/><Relationship Id="rId175" Type="http://schemas.openxmlformats.org/officeDocument/2006/relationships/hyperlink" Target="https://login.consultant.ru/link/?req=doc&amp;base=LAW&amp;n=323214&amp;dst=100018" TargetMode="External"/><Relationship Id="rId196" Type="http://schemas.openxmlformats.org/officeDocument/2006/relationships/hyperlink" Target="https://login.consultant.ru/link/?req=doc&amp;base=LAW&amp;n=147712" TargetMode="External"/><Relationship Id="rId200" Type="http://schemas.openxmlformats.org/officeDocument/2006/relationships/hyperlink" Target="https://login.consultant.ru/link/?req=doc&amp;base=LAW&amp;n=221641&amp;dst=100037" TargetMode="External"/><Relationship Id="rId16" Type="http://schemas.openxmlformats.org/officeDocument/2006/relationships/hyperlink" Target="https://login.consultant.ru/link/?req=doc&amp;base=LAW&amp;n=337095&amp;dst=100005" TargetMode="External"/><Relationship Id="rId37" Type="http://schemas.openxmlformats.org/officeDocument/2006/relationships/hyperlink" Target="https://login.consultant.ru/link/?req=doc&amp;base=LAW&amp;n=380210&amp;dst=100011" TargetMode="External"/><Relationship Id="rId58" Type="http://schemas.openxmlformats.org/officeDocument/2006/relationships/hyperlink" Target="https://login.consultant.ru/link/?req=doc&amp;base=LAW&amp;n=333378&amp;dst=100019" TargetMode="External"/><Relationship Id="rId79" Type="http://schemas.openxmlformats.org/officeDocument/2006/relationships/hyperlink" Target="https://login.consultant.ru/link/?req=doc&amp;base=LAW&amp;n=448705&amp;dst=100037" TargetMode="External"/><Relationship Id="rId102" Type="http://schemas.openxmlformats.org/officeDocument/2006/relationships/hyperlink" Target="https://login.consultant.ru/link/?req=doc&amp;base=LAW&amp;n=337095&amp;dst=100018" TargetMode="External"/><Relationship Id="rId123" Type="http://schemas.openxmlformats.org/officeDocument/2006/relationships/hyperlink" Target="https://login.consultant.ru/link/?req=doc&amp;base=LAW&amp;n=477880&amp;dst=100022" TargetMode="External"/><Relationship Id="rId144" Type="http://schemas.openxmlformats.org/officeDocument/2006/relationships/hyperlink" Target="https://login.consultant.ru/link/?req=doc&amp;base=LAW&amp;n=402355&amp;dst=100025" TargetMode="External"/><Relationship Id="rId90" Type="http://schemas.openxmlformats.org/officeDocument/2006/relationships/hyperlink" Target="https://login.consultant.ru/link/?req=doc&amp;base=LAW&amp;n=403082&amp;dst=100038" TargetMode="External"/><Relationship Id="rId165" Type="http://schemas.openxmlformats.org/officeDocument/2006/relationships/hyperlink" Target="https://login.consultant.ru/link/?req=doc&amp;base=LAW&amp;n=477880&amp;dst=100029" TargetMode="External"/><Relationship Id="rId186" Type="http://schemas.openxmlformats.org/officeDocument/2006/relationships/hyperlink" Target="https://login.consultant.ru/link/?req=doc&amp;base=LAW&amp;n=482896&amp;dst=17592" TargetMode="External"/><Relationship Id="rId27" Type="http://schemas.openxmlformats.org/officeDocument/2006/relationships/hyperlink" Target="https://login.consultant.ru/link/?req=doc&amp;base=LAW&amp;n=206495&amp;dst=100040" TargetMode="External"/><Relationship Id="rId48" Type="http://schemas.openxmlformats.org/officeDocument/2006/relationships/hyperlink" Target="https://login.consultant.ru/link/?req=doc&amp;base=LAW&amp;n=303387&amp;dst=100010" TargetMode="External"/><Relationship Id="rId69" Type="http://schemas.openxmlformats.org/officeDocument/2006/relationships/hyperlink" Target="https://login.consultant.ru/link/?req=doc&amp;base=LAW&amp;n=481604&amp;dst=101521" TargetMode="External"/><Relationship Id="rId113" Type="http://schemas.openxmlformats.org/officeDocument/2006/relationships/hyperlink" Target="https://login.consultant.ru/link/?req=doc&amp;base=LAW&amp;n=337095&amp;dst=100029" TargetMode="External"/><Relationship Id="rId134" Type="http://schemas.openxmlformats.org/officeDocument/2006/relationships/hyperlink" Target="https://login.consultant.ru/link/?req=doc&amp;base=LAW&amp;n=471232&amp;dst=635" TargetMode="External"/><Relationship Id="rId80" Type="http://schemas.openxmlformats.org/officeDocument/2006/relationships/hyperlink" Target="https://login.consultant.ru/link/?req=doc&amp;base=LAW&amp;n=403082&amp;dst=100038" TargetMode="External"/><Relationship Id="rId155" Type="http://schemas.openxmlformats.org/officeDocument/2006/relationships/hyperlink" Target="https://login.consultant.ru/link/?req=doc&amp;base=LAW&amp;n=401989&amp;dst=42" TargetMode="External"/><Relationship Id="rId176" Type="http://schemas.openxmlformats.org/officeDocument/2006/relationships/hyperlink" Target="https://login.consultant.ru/link/?req=doc&amp;base=LAW&amp;n=403082&amp;dst=100043" TargetMode="External"/><Relationship Id="rId197" Type="http://schemas.openxmlformats.org/officeDocument/2006/relationships/hyperlink" Target="https://login.consultant.ru/link/?req=doc&amp;base=LAW&amp;n=180917" TargetMode="External"/><Relationship Id="rId201" Type="http://schemas.openxmlformats.org/officeDocument/2006/relationships/hyperlink" Target="https://login.consultant.ru/link/?req=doc&amp;base=LAW&amp;n=185926&amp;dst=100016" TargetMode="External"/><Relationship Id="rId17" Type="http://schemas.openxmlformats.org/officeDocument/2006/relationships/hyperlink" Target="https://login.consultant.ru/link/?req=doc&amp;base=LAW&amp;n=380210&amp;dst=100010" TargetMode="External"/><Relationship Id="rId38" Type="http://schemas.openxmlformats.org/officeDocument/2006/relationships/hyperlink" Target="https://login.consultant.ru/link/?req=doc&amp;base=LAW&amp;n=402355&amp;dst=100009" TargetMode="External"/><Relationship Id="rId59" Type="http://schemas.openxmlformats.org/officeDocument/2006/relationships/hyperlink" Target="https://login.consultant.ru/link/?req=doc&amp;base=LAW&amp;n=363105&amp;dst=100006" TargetMode="External"/><Relationship Id="rId103" Type="http://schemas.openxmlformats.org/officeDocument/2006/relationships/hyperlink" Target="https://login.consultant.ru/link/?req=doc&amp;base=LAW&amp;n=216426&amp;dst=100031" TargetMode="External"/><Relationship Id="rId124" Type="http://schemas.openxmlformats.org/officeDocument/2006/relationships/hyperlink" Target="https://login.consultant.ru/link/?req=doc&amp;base=LAW&amp;n=403082&amp;dst=100039" TargetMode="External"/><Relationship Id="rId70" Type="http://schemas.openxmlformats.org/officeDocument/2006/relationships/hyperlink" Target="https://login.consultant.ru/link/?req=doc&amp;base=LAW&amp;n=403082&amp;dst=100035" TargetMode="External"/><Relationship Id="rId91" Type="http://schemas.openxmlformats.org/officeDocument/2006/relationships/hyperlink" Target="https://login.consultant.ru/link/?req=doc&amp;base=LAW&amp;n=403082&amp;dst=100038" TargetMode="External"/><Relationship Id="rId145" Type="http://schemas.openxmlformats.org/officeDocument/2006/relationships/hyperlink" Target="https://login.consultant.ru/link/?req=doc&amp;base=LAW&amp;n=402355&amp;dst=100026" TargetMode="External"/><Relationship Id="rId166" Type="http://schemas.openxmlformats.org/officeDocument/2006/relationships/hyperlink" Target="https://login.consultant.ru/link/?req=doc&amp;base=LAW&amp;n=436653&amp;dst=100022" TargetMode="External"/><Relationship Id="rId187" Type="http://schemas.openxmlformats.org/officeDocument/2006/relationships/hyperlink" Target="https://login.consultant.ru/link/?req=doc&amp;base=LAW&amp;n=468641&amp;dst=100009" TargetMode="External"/><Relationship Id="rId1" Type="http://schemas.openxmlformats.org/officeDocument/2006/relationships/styles" Target="styles.xml"/><Relationship Id="rId28" Type="http://schemas.openxmlformats.org/officeDocument/2006/relationships/hyperlink" Target="https://login.consultant.ru/link/?req=doc&amp;base=LAW&amp;n=216426&amp;dst=100027" TargetMode="External"/><Relationship Id="rId49" Type="http://schemas.openxmlformats.org/officeDocument/2006/relationships/hyperlink" Target="https://login.consultant.ru/link/?req=doc&amp;base=LAW&amp;n=471232&amp;dst=637" TargetMode="External"/><Relationship Id="rId114" Type="http://schemas.openxmlformats.org/officeDocument/2006/relationships/hyperlink" Target="https://login.consultant.ru/link/?req=doc&amp;base=LAW&amp;n=303387&amp;dst=100016" TargetMode="External"/><Relationship Id="rId60" Type="http://schemas.openxmlformats.org/officeDocument/2006/relationships/hyperlink" Target="https://login.consultant.ru/link/?req=doc&amp;base=LAW&amp;n=414372&amp;dst=100011" TargetMode="External"/><Relationship Id="rId81" Type="http://schemas.openxmlformats.org/officeDocument/2006/relationships/hyperlink" Target="https://login.consultant.ru/link/?req=doc&amp;base=LAW&amp;n=380210&amp;dst=100013" TargetMode="External"/><Relationship Id="rId135" Type="http://schemas.openxmlformats.org/officeDocument/2006/relationships/hyperlink" Target="https://login.consultant.ru/link/?req=doc&amp;base=LAW&amp;n=471232&amp;dst=635" TargetMode="External"/><Relationship Id="rId156" Type="http://schemas.openxmlformats.org/officeDocument/2006/relationships/hyperlink" Target="https://login.consultant.ru/link/?req=doc&amp;base=LAW&amp;n=431832&amp;dst=378" TargetMode="External"/><Relationship Id="rId177" Type="http://schemas.openxmlformats.org/officeDocument/2006/relationships/hyperlink" Target="https://login.consultant.ru/link/?req=doc&amp;base=LAW&amp;n=431297&amp;dst=100223" TargetMode="External"/><Relationship Id="rId198" Type="http://schemas.openxmlformats.org/officeDocument/2006/relationships/hyperlink" Target="https://login.consultant.ru/link/?req=doc&amp;base=LAW&amp;n=146354" TargetMode="External"/><Relationship Id="rId202" Type="http://schemas.openxmlformats.org/officeDocument/2006/relationships/hyperlink" Target="https://login.consultant.ru/link/?req=doc&amp;base=LAW&amp;n=210841&amp;dst=2" TargetMode="External"/><Relationship Id="rId18" Type="http://schemas.openxmlformats.org/officeDocument/2006/relationships/hyperlink" Target="https://login.consultant.ru/link/?req=doc&amp;base=LAW&amp;n=402355&amp;dst=100009" TargetMode="External"/><Relationship Id="rId39" Type="http://schemas.openxmlformats.org/officeDocument/2006/relationships/hyperlink" Target="https://login.consultant.ru/link/?req=doc&amp;base=LAW&amp;n=403082&amp;dst=100022" TargetMode="External"/><Relationship Id="rId50" Type="http://schemas.openxmlformats.org/officeDocument/2006/relationships/hyperlink" Target="https://login.consultant.ru/link/?req=doc&amp;base=LAW&amp;n=323214&amp;dst=100011" TargetMode="External"/><Relationship Id="rId104" Type="http://schemas.openxmlformats.org/officeDocument/2006/relationships/hyperlink" Target="https://login.consultant.ru/link/?req=doc&amp;base=LAW&amp;n=337095&amp;dst=100020" TargetMode="External"/><Relationship Id="rId125" Type="http://schemas.openxmlformats.org/officeDocument/2006/relationships/hyperlink" Target="https://login.consultant.ru/link/?req=doc&amp;base=LAW&amp;n=403082&amp;dst=100039" TargetMode="External"/><Relationship Id="rId146" Type="http://schemas.openxmlformats.org/officeDocument/2006/relationships/hyperlink" Target="https://login.consultant.ru/link/?req=doc&amp;base=LAW&amp;n=429803&amp;dst=100015" TargetMode="External"/><Relationship Id="rId167" Type="http://schemas.openxmlformats.org/officeDocument/2006/relationships/hyperlink" Target="https://login.consultant.ru/link/?req=doc&amp;base=LAW&amp;n=206495&amp;dst=100042" TargetMode="External"/><Relationship Id="rId188" Type="http://schemas.openxmlformats.org/officeDocument/2006/relationships/hyperlink" Target="https://login.consultant.ru/link/?req=doc&amp;base=LAW&amp;n=482896&amp;dst=17592" TargetMode="External"/><Relationship Id="rId71" Type="http://schemas.openxmlformats.org/officeDocument/2006/relationships/hyperlink" Target="https://login.consultant.ru/link/?req=doc&amp;base=LAW&amp;n=403082&amp;dst=100036" TargetMode="External"/><Relationship Id="rId92" Type="http://schemas.openxmlformats.org/officeDocument/2006/relationships/hyperlink" Target="https://login.consultant.ru/link/?req=doc&amp;base=LAW&amp;n=380210&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23119</Words>
  <Characters>131780</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okk12</dc:creator>
  <cp:keywords/>
  <dc:description/>
  <cp:lastModifiedBy>okk12</cp:lastModifiedBy>
  <cp:revision>1</cp:revision>
  <dcterms:created xsi:type="dcterms:W3CDTF">2024-09-19T12:40:00Z</dcterms:created>
  <dcterms:modified xsi:type="dcterms:W3CDTF">2024-09-19T12:44:00Z</dcterms:modified>
</cp:coreProperties>
</file>