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493" w:rsidRPr="006B7493" w:rsidRDefault="006B7493" w:rsidP="006B7493">
      <w:pPr>
        <w:autoSpaceDE w:val="0"/>
        <w:autoSpaceDN w:val="0"/>
        <w:adjustRightInd w:val="0"/>
        <w:spacing w:after="0" w:line="240" w:lineRule="auto"/>
        <w:rPr>
          <w:rFonts w:ascii="Times New Roman" w:hAnsi="Times New Roman" w:cs="Times New Roman"/>
          <w:b/>
          <w:bCs/>
          <w:sz w:val="24"/>
          <w:szCs w:val="24"/>
        </w:rPr>
      </w:pPr>
      <w:r w:rsidRPr="006B7493">
        <w:rPr>
          <w:rFonts w:ascii="Times New Roman" w:hAnsi="Times New Roman" w:cs="Times New Roman"/>
          <w:b/>
          <w:bCs/>
          <w:sz w:val="24"/>
          <w:szCs w:val="24"/>
        </w:rPr>
        <w:t>Источник публикации</w:t>
      </w:r>
    </w:p>
    <w:p w:rsidR="00B5015D" w:rsidRPr="00B5015D" w:rsidRDefault="00B5015D" w:rsidP="00B5015D">
      <w:pPr>
        <w:autoSpaceDE w:val="0"/>
        <w:autoSpaceDN w:val="0"/>
        <w:adjustRightInd w:val="0"/>
        <w:spacing w:after="0" w:line="240" w:lineRule="auto"/>
        <w:rPr>
          <w:rFonts w:ascii="PT Serif" w:hAnsi="PT Serif"/>
          <w:color w:val="22272F"/>
          <w:sz w:val="23"/>
          <w:szCs w:val="23"/>
          <w:shd w:val="clear" w:color="auto" w:fill="FFFFFF"/>
        </w:rPr>
      </w:pPr>
      <w:r w:rsidRPr="00B5015D">
        <w:rPr>
          <w:rFonts w:ascii="PT Serif" w:hAnsi="PT Serif"/>
          <w:color w:val="22272F"/>
          <w:sz w:val="23"/>
          <w:szCs w:val="23"/>
          <w:shd w:val="clear" w:color="auto" w:fill="FFFFFF"/>
        </w:rPr>
        <w:t>официальный интернет-портал правовой информации (pravo.gov.ru) 24 октября 2025 г. N 0001202510240023</w:t>
      </w:r>
    </w:p>
    <w:p w:rsidR="00B5015D" w:rsidRDefault="00B5015D" w:rsidP="00B5015D">
      <w:pPr>
        <w:autoSpaceDE w:val="0"/>
        <w:autoSpaceDN w:val="0"/>
        <w:adjustRightInd w:val="0"/>
        <w:spacing w:after="0" w:line="240" w:lineRule="auto"/>
        <w:rPr>
          <w:rFonts w:ascii="PT Serif" w:hAnsi="PT Serif"/>
          <w:color w:val="22272F"/>
          <w:sz w:val="23"/>
          <w:szCs w:val="23"/>
          <w:shd w:val="clear" w:color="auto" w:fill="FFFFFF"/>
        </w:rPr>
      </w:pPr>
      <w:r w:rsidRPr="00B5015D">
        <w:rPr>
          <w:rFonts w:ascii="PT Serif" w:hAnsi="PT Serif"/>
          <w:color w:val="22272F"/>
          <w:sz w:val="23"/>
          <w:szCs w:val="23"/>
          <w:shd w:val="clear" w:color="auto" w:fill="FFFFFF"/>
        </w:rPr>
        <w:t>Собрание законодательства Российской Федерации, 27 октября 2025 г. N 43 ст. 6419</w:t>
      </w:r>
    </w:p>
    <w:p w:rsidR="006B7493" w:rsidRPr="0047400F" w:rsidRDefault="006B7493" w:rsidP="00B5015D">
      <w:pPr>
        <w:autoSpaceDE w:val="0"/>
        <w:autoSpaceDN w:val="0"/>
        <w:adjustRightInd w:val="0"/>
        <w:spacing w:after="0" w:line="240" w:lineRule="auto"/>
        <w:rPr>
          <w:rFonts w:ascii="Times New Roman" w:hAnsi="Times New Roman" w:cs="Times New Roman"/>
          <w:b/>
          <w:bCs/>
          <w:sz w:val="24"/>
          <w:szCs w:val="24"/>
        </w:rPr>
      </w:pPr>
      <w:r w:rsidRPr="0047400F">
        <w:rPr>
          <w:rFonts w:ascii="Times New Roman" w:hAnsi="Times New Roman" w:cs="Times New Roman"/>
          <w:b/>
          <w:bCs/>
          <w:sz w:val="24"/>
          <w:szCs w:val="24"/>
        </w:rPr>
        <w:t>Примечание к документу</w:t>
      </w:r>
    </w:p>
    <w:p w:rsidR="006B7493" w:rsidRPr="0047400F" w:rsidRDefault="006B7493" w:rsidP="006B7493">
      <w:pPr>
        <w:autoSpaceDE w:val="0"/>
        <w:autoSpaceDN w:val="0"/>
        <w:adjustRightInd w:val="0"/>
        <w:spacing w:after="0" w:line="240" w:lineRule="auto"/>
        <w:rPr>
          <w:rFonts w:ascii="Times New Roman" w:hAnsi="Times New Roman" w:cs="Times New Roman"/>
          <w:bCs/>
          <w:sz w:val="24"/>
          <w:szCs w:val="24"/>
        </w:rPr>
      </w:pPr>
      <w:r w:rsidRPr="0047400F">
        <w:rPr>
          <w:rFonts w:ascii="Times New Roman" w:hAnsi="Times New Roman" w:cs="Times New Roman"/>
          <w:bCs/>
          <w:sz w:val="24"/>
          <w:szCs w:val="24"/>
        </w:rPr>
        <w:t xml:space="preserve">Начало действия документа </w:t>
      </w:r>
      <w:r w:rsidR="00970565">
        <w:rPr>
          <w:rFonts w:ascii="PT Serif" w:hAnsi="PT Serif"/>
          <w:color w:val="22272F"/>
          <w:sz w:val="23"/>
          <w:szCs w:val="23"/>
          <w:shd w:val="clear" w:color="auto" w:fill="FFFFFF"/>
        </w:rPr>
        <w:t xml:space="preserve">с </w:t>
      </w:r>
      <w:r w:rsidR="00B5015D" w:rsidRPr="00B5015D">
        <w:rPr>
          <w:rFonts w:ascii="PT Serif" w:hAnsi="PT Serif"/>
          <w:color w:val="22272F"/>
          <w:sz w:val="23"/>
          <w:szCs w:val="23"/>
          <w:shd w:val="clear" w:color="auto" w:fill="FFFFFF"/>
        </w:rPr>
        <w:t>24 октября 2025 г.</w:t>
      </w:r>
    </w:p>
    <w:p w:rsidR="0047400F" w:rsidRPr="0047400F" w:rsidRDefault="0047400F" w:rsidP="0047400F">
      <w:pPr>
        <w:autoSpaceDE w:val="0"/>
        <w:autoSpaceDN w:val="0"/>
        <w:adjustRightInd w:val="0"/>
        <w:spacing w:after="0" w:line="240" w:lineRule="auto"/>
        <w:rPr>
          <w:rFonts w:ascii="Times New Roman" w:hAnsi="Times New Roman" w:cs="Times New Roman"/>
          <w:b/>
          <w:sz w:val="24"/>
          <w:szCs w:val="24"/>
        </w:rPr>
      </w:pPr>
      <w:r w:rsidRPr="0047400F">
        <w:rPr>
          <w:rFonts w:ascii="Times New Roman" w:hAnsi="Times New Roman" w:cs="Times New Roman"/>
          <w:b/>
          <w:sz w:val="24"/>
          <w:szCs w:val="24"/>
        </w:rPr>
        <w:t>Название документа</w:t>
      </w:r>
    </w:p>
    <w:p w:rsidR="00DD5FE7" w:rsidRDefault="00B5015D" w:rsidP="002565F9">
      <w:pPr>
        <w:autoSpaceDE w:val="0"/>
        <w:autoSpaceDN w:val="0"/>
        <w:adjustRightInd w:val="0"/>
        <w:spacing w:after="0" w:line="240" w:lineRule="auto"/>
        <w:jc w:val="both"/>
        <w:rPr>
          <w:rFonts w:ascii="Times New Roman" w:hAnsi="Times New Roman" w:cs="Times New Roman"/>
          <w:sz w:val="24"/>
          <w:szCs w:val="24"/>
        </w:rPr>
      </w:pPr>
      <w:r w:rsidRPr="00B5015D">
        <w:rPr>
          <w:rFonts w:ascii="Times New Roman" w:hAnsi="Times New Roman" w:cs="Times New Roman"/>
          <w:sz w:val="24"/>
          <w:szCs w:val="24"/>
        </w:rPr>
        <w:t>Постановление Правительства Российской Федерации от 23 октября 2025 г. № 1635 "О внесении изменений в некоторые акты Правительства Российской Федерации по вопросу установления и применения эталонов затрат территориальных сетевых организаций"</w:t>
      </w:r>
    </w:p>
    <w:p w:rsidR="00B5015D" w:rsidRDefault="00B5015D" w:rsidP="002565F9">
      <w:pPr>
        <w:autoSpaceDE w:val="0"/>
        <w:autoSpaceDN w:val="0"/>
        <w:adjustRightInd w:val="0"/>
        <w:spacing w:after="0" w:line="240" w:lineRule="auto"/>
        <w:jc w:val="both"/>
        <w:rPr>
          <w:rFonts w:ascii="Times New Roman" w:hAnsi="Times New Roman" w:cs="Times New Roman"/>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Документ предоставлен </w:t>
      </w:r>
      <w:r w:rsidR="009D1750">
        <w:rPr>
          <w:rFonts w:ascii="Times New Roman" w:hAnsi="Times New Roman" w:cs="Times New Roman"/>
          <w:bCs/>
          <w:sz w:val="24"/>
          <w:szCs w:val="24"/>
        </w:rPr>
        <w:t>Система ГАРАТ</w:t>
      </w:r>
      <w:bookmarkStart w:id="0" w:name="_GoBack"/>
      <w:bookmarkEnd w:id="0"/>
    </w:p>
    <w:p w:rsidR="009D1750" w:rsidRDefault="009D1750" w:rsidP="009D1750">
      <w:pPr>
        <w:autoSpaceDE w:val="0"/>
        <w:autoSpaceDN w:val="0"/>
        <w:adjustRightInd w:val="0"/>
        <w:spacing w:after="0" w:line="240" w:lineRule="auto"/>
        <w:jc w:val="both"/>
        <w:rPr>
          <w:rFonts w:ascii="Times New Roman" w:hAnsi="Times New Roman" w:cs="Times New Roman"/>
          <w:bCs/>
          <w:sz w:val="24"/>
          <w:szCs w:val="24"/>
        </w:rPr>
      </w:pPr>
    </w:p>
    <w:p w:rsidR="00DD5FE7" w:rsidRDefault="00B5015D" w:rsidP="00DD5FE7">
      <w:pPr>
        <w:autoSpaceDE w:val="0"/>
        <w:autoSpaceDN w:val="0"/>
        <w:adjustRightInd w:val="0"/>
        <w:spacing w:after="0" w:line="240" w:lineRule="auto"/>
        <w:jc w:val="center"/>
        <w:rPr>
          <w:rFonts w:ascii="Times New Roman" w:hAnsi="Times New Roman" w:cs="Times New Roman"/>
          <w:b/>
          <w:bCs/>
          <w:sz w:val="26"/>
          <w:szCs w:val="26"/>
        </w:rPr>
      </w:pPr>
      <w:r w:rsidRPr="00B5015D">
        <w:rPr>
          <w:rFonts w:ascii="PT Serif" w:hAnsi="PT Serif"/>
          <w:b/>
          <w:color w:val="22272F"/>
          <w:sz w:val="28"/>
          <w:szCs w:val="28"/>
          <w:shd w:val="clear" w:color="auto" w:fill="FFFFFF"/>
        </w:rPr>
        <w:t>Постановление Правительства Российской Федерации от 23 октября 2025 г. № 1635 "О внесении изменений в некоторые акты Правительства Российской Федерации по вопросу установления и применения эталонов затрат территориальных сетевых организаций"</w:t>
      </w:r>
    </w:p>
    <w:p w:rsid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p>
    <w:p w:rsidR="00B5015D" w:rsidRPr="00B5015D" w:rsidRDefault="00B5015D" w:rsidP="00B5015D">
      <w:pPr>
        <w:pStyle w:val="a3"/>
        <w:numPr>
          <w:ilvl w:val="0"/>
          <w:numId w:val="3"/>
        </w:num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 xml:space="preserve">В постановлении Правительства Российской Федерации от 29 декабря 2011 г. № 1178 "О ценообразовании в области регулируемых цен (тарифов) в электроэнергетике" </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1) в Основах ценообразования в области регулируемых цен (тарифов) в электроэнергетике, утвержденных указанным постановлением</w:t>
      </w:r>
      <w:r>
        <w:rPr>
          <w:rFonts w:ascii="Times New Roman" w:hAnsi="Times New Roman" w:cs="Times New Roman"/>
          <w:bCs/>
          <w:sz w:val="26"/>
          <w:szCs w:val="26"/>
        </w:rPr>
        <w:t xml:space="preserve"> (далее-Основ ценообразования)</w:t>
      </w:r>
      <w:r w:rsidRPr="00B5015D">
        <w:rPr>
          <w:rFonts w:ascii="Times New Roman" w:hAnsi="Times New Roman" w:cs="Times New Roman"/>
          <w:bCs/>
          <w:sz w:val="26"/>
          <w:szCs w:val="26"/>
        </w:rPr>
        <w:t>:</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а) пункт 2:</w:t>
      </w:r>
    </w:p>
    <w:p w:rsidR="00B5015D" w:rsidRPr="00B5015D" w:rsidRDefault="00B5015D" w:rsidP="00B5015D">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после абзаца двадцать седьмого дополнить абзацем следующего содержания:</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"срок эксплуатации оборудования" - период времени (в годах) с года первичного документально подтвержденного ввода оборудования в эксплуатацию или с года изготовления оборудования при отсутствии документов, подтверждающих первичный ввод в эксплуатацию оборудования, до года, соответствующего очередному периоду регулирования;";</w:t>
      </w:r>
    </w:p>
    <w:p w:rsidR="00B5015D" w:rsidRPr="00B5015D" w:rsidRDefault="00B5015D" w:rsidP="00B5015D">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после абзаца тридцать четвертого дополнить абзацем следующего содержания:</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"эталон затрат территориальной сетевой организации" - экономически обоснованная удельная величина операционных (подконтрольных) расходов, связанных с осуществлением регулируемой деятельности по передаче электрической энергии по электрическим сетям территориальных сетевых организаций;";</w:t>
      </w:r>
    </w:p>
    <w:p w:rsidR="00B5015D" w:rsidRPr="00B5015D" w:rsidRDefault="00B5015D" w:rsidP="00B5015D">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абзац третий пункта 7 после слов "метода долгосрочной индексации необходимой валовой выручки," дополнить словами "определения операционных (подконтрольных) расходов с применением эталонов затрат территориальных сетевых организаций и необходимой валовой выручки гарантирующего поставщика методом сравнения аналогов на основе эталонов затрат гарантирующего поставщика,";</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б) в подпункте 6 пункта 18 слова "и страховые взносы" исключить;</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в) пункт 28 дополнить подпунктом 10</w:t>
      </w:r>
      <w:r w:rsidRPr="00493FB0">
        <w:rPr>
          <w:rFonts w:ascii="Times New Roman" w:hAnsi="Times New Roman" w:cs="Times New Roman"/>
          <w:bCs/>
          <w:sz w:val="26"/>
          <w:szCs w:val="26"/>
          <w:vertAlign w:val="superscript"/>
        </w:rPr>
        <w:t>4</w:t>
      </w:r>
      <w:r w:rsidRPr="00B5015D">
        <w:rPr>
          <w:rFonts w:ascii="Times New Roman" w:hAnsi="Times New Roman" w:cs="Times New Roman"/>
          <w:bCs/>
          <w:sz w:val="26"/>
          <w:szCs w:val="26"/>
        </w:rPr>
        <w:t xml:space="preserve"> следующего содержания:</w:t>
      </w:r>
    </w:p>
    <w:p w:rsidR="00B5015D" w:rsidRPr="00B5015D" w:rsidRDefault="00B5015D" w:rsidP="00B5015D">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"10</w:t>
      </w:r>
      <w:r w:rsidRPr="00493FB0">
        <w:rPr>
          <w:rFonts w:ascii="Times New Roman" w:hAnsi="Times New Roman" w:cs="Times New Roman"/>
          <w:bCs/>
          <w:sz w:val="26"/>
          <w:szCs w:val="26"/>
          <w:vertAlign w:val="superscript"/>
        </w:rPr>
        <w:t>4</w:t>
      </w:r>
      <w:r w:rsidRPr="00B5015D">
        <w:rPr>
          <w:rFonts w:ascii="Times New Roman" w:hAnsi="Times New Roman" w:cs="Times New Roman"/>
          <w:bCs/>
          <w:sz w:val="26"/>
          <w:szCs w:val="26"/>
        </w:rPr>
        <w:t xml:space="preserve">) расходы на уплату страховых взносов. Для территориальных сетевых организаций расходы на уплату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обязательное медицинское </w:t>
      </w:r>
      <w:r w:rsidRPr="00B5015D">
        <w:rPr>
          <w:rFonts w:ascii="Times New Roman" w:hAnsi="Times New Roman" w:cs="Times New Roman"/>
          <w:bCs/>
          <w:sz w:val="26"/>
          <w:szCs w:val="26"/>
        </w:rPr>
        <w:lastRenderedPageBreak/>
        <w:t>страхование, взносов на обязательное социальное страхование от несчастных случаев на производстве и профессиональных заболеваний определяются на основании фактических данных за последний отчетный период (год) с учетом параметров прогноза социально-экономического развития Российской Федерации на текущий и очередной периоды регулирования;";</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г) пункт 33 дополнить абзацем следующего содержания:</w:t>
      </w:r>
    </w:p>
    <w:p w:rsidR="00B5015D" w:rsidRPr="00B5015D" w:rsidRDefault="00B5015D" w:rsidP="00B5015D">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"В отношении территориальных сетевых организаций, указанных в пункте 38</w:t>
      </w:r>
      <w:r w:rsidRPr="00493FB0">
        <w:rPr>
          <w:rFonts w:ascii="Times New Roman" w:hAnsi="Times New Roman" w:cs="Times New Roman"/>
          <w:bCs/>
          <w:sz w:val="26"/>
          <w:szCs w:val="26"/>
          <w:vertAlign w:val="superscript"/>
        </w:rPr>
        <w:t>4</w:t>
      </w:r>
      <w:r w:rsidRPr="00B5015D">
        <w:rPr>
          <w:rFonts w:ascii="Times New Roman" w:hAnsi="Times New Roman" w:cs="Times New Roman"/>
          <w:bCs/>
          <w:sz w:val="26"/>
          <w:szCs w:val="26"/>
        </w:rPr>
        <w:t xml:space="preserve"> </w:t>
      </w:r>
      <w:r>
        <w:rPr>
          <w:rFonts w:ascii="Times New Roman" w:hAnsi="Times New Roman" w:cs="Times New Roman"/>
          <w:bCs/>
          <w:sz w:val="26"/>
          <w:szCs w:val="26"/>
        </w:rPr>
        <w:t>Основ ценообразования</w:t>
      </w:r>
      <w:r w:rsidRPr="00B5015D">
        <w:rPr>
          <w:rFonts w:ascii="Times New Roman" w:hAnsi="Times New Roman" w:cs="Times New Roman"/>
          <w:bCs/>
          <w:sz w:val="26"/>
          <w:szCs w:val="26"/>
        </w:rPr>
        <w:t>, операционные расходы определяются с применением эталонов затрат территориальных сетевых организаций в соответствии с порядком, установленным пунктом 38</w:t>
      </w:r>
      <w:r w:rsidRPr="00493FB0">
        <w:rPr>
          <w:rFonts w:ascii="Times New Roman" w:hAnsi="Times New Roman" w:cs="Times New Roman"/>
          <w:bCs/>
          <w:sz w:val="26"/>
          <w:szCs w:val="26"/>
          <w:vertAlign w:val="superscript"/>
        </w:rPr>
        <w:t>4</w:t>
      </w:r>
      <w:r w:rsidRPr="00B5015D">
        <w:rPr>
          <w:rFonts w:ascii="Times New Roman" w:hAnsi="Times New Roman" w:cs="Times New Roman"/>
          <w:bCs/>
          <w:sz w:val="26"/>
          <w:szCs w:val="26"/>
        </w:rPr>
        <w:t xml:space="preserve"> </w:t>
      </w:r>
      <w:r>
        <w:rPr>
          <w:rFonts w:ascii="Times New Roman" w:hAnsi="Times New Roman" w:cs="Times New Roman"/>
          <w:bCs/>
          <w:sz w:val="26"/>
          <w:szCs w:val="26"/>
        </w:rPr>
        <w:t>Основ ценообразования</w:t>
      </w:r>
      <w:r w:rsidRPr="00B5015D">
        <w:rPr>
          <w:rFonts w:ascii="Times New Roman" w:hAnsi="Times New Roman" w:cs="Times New Roman"/>
          <w:bCs/>
          <w:sz w:val="26"/>
          <w:szCs w:val="26"/>
        </w:rPr>
        <w:t>. При этом для расчета необходимой валовой выручки таких территориальных сетевых организаций на долгосрочный период регулирования не применяются (не устанавливаются) следующие долгосрочные параметры регулирования - базовый уровень операционных расходов, индекс эффективности операционных расходов и коэффициент эластичности операционных расходов территориальных сетевых организаций.";</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д) пункт 34 после абзаца девятнадцатого дополнить абзацем следующего содержания:</w:t>
      </w:r>
    </w:p>
    <w:p w:rsidR="00B5015D" w:rsidRPr="00B5015D" w:rsidRDefault="00B5015D" w:rsidP="00493FB0">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"для которых операционные расходы рассчитаны на 2028 год и последующие периоды регулирования с применением эталонов затрат территориальной сетевой организации.";</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е) пункт 38:</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после абзаца тринадцатого дополнить абзацем следующего содержания:</w:t>
      </w:r>
    </w:p>
    <w:p w:rsidR="00B5015D" w:rsidRPr="00B5015D" w:rsidRDefault="00B5015D" w:rsidP="00493FB0">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"для которых подконтрольные расходы рассчитаны на 2028 год и последующие периоды регулирования с применением эталонов затрат территориальной сетевой организации.";</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дополнить абзацем следующего содержания:</w:t>
      </w:r>
    </w:p>
    <w:p w:rsidR="00B5015D" w:rsidRPr="00B5015D" w:rsidRDefault="00B5015D" w:rsidP="00493FB0">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"В отношении территориальных сетевых организаций, указанных в пункте 38</w:t>
      </w:r>
      <w:r w:rsidRPr="00493FB0">
        <w:rPr>
          <w:rFonts w:ascii="Times New Roman" w:hAnsi="Times New Roman" w:cs="Times New Roman"/>
          <w:bCs/>
          <w:sz w:val="26"/>
          <w:szCs w:val="26"/>
          <w:vertAlign w:val="superscript"/>
        </w:rPr>
        <w:t>4</w:t>
      </w:r>
      <w:r w:rsidRPr="00B5015D">
        <w:rPr>
          <w:rFonts w:ascii="Times New Roman" w:hAnsi="Times New Roman" w:cs="Times New Roman"/>
          <w:bCs/>
          <w:sz w:val="26"/>
          <w:szCs w:val="26"/>
        </w:rPr>
        <w:t xml:space="preserve"> </w:t>
      </w:r>
      <w:r w:rsidR="00493FB0">
        <w:rPr>
          <w:rFonts w:ascii="Times New Roman" w:hAnsi="Times New Roman" w:cs="Times New Roman"/>
          <w:bCs/>
          <w:sz w:val="26"/>
          <w:szCs w:val="26"/>
        </w:rPr>
        <w:t>Основ ценообразования</w:t>
      </w:r>
      <w:r w:rsidRPr="00B5015D">
        <w:rPr>
          <w:rFonts w:ascii="Times New Roman" w:hAnsi="Times New Roman" w:cs="Times New Roman"/>
          <w:bCs/>
          <w:sz w:val="26"/>
          <w:szCs w:val="26"/>
        </w:rPr>
        <w:t>, подконтрольные расходы определяются с применением эталонов затрат территориальных сетевых организаций в соответствии с порядком, установленным пунктом 38</w:t>
      </w:r>
      <w:r w:rsidRPr="00493FB0">
        <w:rPr>
          <w:rFonts w:ascii="Times New Roman" w:hAnsi="Times New Roman" w:cs="Times New Roman"/>
          <w:bCs/>
          <w:sz w:val="26"/>
          <w:szCs w:val="26"/>
          <w:vertAlign w:val="superscript"/>
        </w:rPr>
        <w:t>4</w:t>
      </w:r>
      <w:r w:rsidRPr="00B5015D">
        <w:rPr>
          <w:rFonts w:ascii="Times New Roman" w:hAnsi="Times New Roman" w:cs="Times New Roman"/>
          <w:bCs/>
          <w:sz w:val="26"/>
          <w:szCs w:val="26"/>
        </w:rPr>
        <w:t xml:space="preserve"> </w:t>
      </w:r>
      <w:r w:rsidR="00493FB0">
        <w:rPr>
          <w:rFonts w:ascii="Times New Roman" w:hAnsi="Times New Roman" w:cs="Times New Roman"/>
          <w:bCs/>
          <w:sz w:val="26"/>
          <w:szCs w:val="26"/>
        </w:rPr>
        <w:t>Основ ценообразования</w:t>
      </w:r>
      <w:r w:rsidRPr="00B5015D">
        <w:rPr>
          <w:rFonts w:ascii="Times New Roman" w:hAnsi="Times New Roman" w:cs="Times New Roman"/>
          <w:bCs/>
          <w:sz w:val="26"/>
          <w:szCs w:val="26"/>
        </w:rPr>
        <w:t>. При этом для расчета необходимой валовой выручки таких территориальных сетевых организаций на долгосрочный период регулирования не применяются (не устанавливаются) следующие долгосрочные параметры регулирования - базовый уровень подконтрольных расходов, индекс эффективности подконтрольных расходов и коэффициент эластичности подконтрольных расходов территориальных сетевых организаций.";</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ж) в пункте 38</w:t>
      </w:r>
      <w:r w:rsidRPr="00493FB0">
        <w:rPr>
          <w:rFonts w:ascii="Times New Roman" w:hAnsi="Times New Roman" w:cs="Times New Roman"/>
          <w:bCs/>
          <w:sz w:val="26"/>
          <w:szCs w:val="26"/>
          <w:vertAlign w:val="superscript"/>
        </w:rPr>
        <w:t>3</w:t>
      </w:r>
      <w:r w:rsidRPr="00B5015D">
        <w:rPr>
          <w:rFonts w:ascii="Times New Roman" w:hAnsi="Times New Roman" w:cs="Times New Roman"/>
          <w:bCs/>
          <w:sz w:val="26"/>
          <w:szCs w:val="26"/>
        </w:rPr>
        <w:t>:</w:t>
      </w:r>
    </w:p>
    <w:p w:rsidR="00B5015D" w:rsidRPr="00B5015D" w:rsidRDefault="00B5015D" w:rsidP="00493FB0">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абзац четвертый дополнить предложением следующего содержания: "Устанавливаемые в соглашении об условиях осуществления регулируемых видов деятельности операционные (подконтрольные) расходы территориальных сетевых организаций определяются с применением эталонов затрат территориальных сетевых организаций в порядке, предусмотренном пунктом 38</w:t>
      </w:r>
      <w:r w:rsidRPr="00493FB0">
        <w:rPr>
          <w:rFonts w:ascii="Times New Roman" w:hAnsi="Times New Roman" w:cs="Times New Roman"/>
          <w:bCs/>
          <w:sz w:val="26"/>
          <w:szCs w:val="26"/>
          <w:vertAlign w:val="superscript"/>
        </w:rPr>
        <w:t>4</w:t>
      </w:r>
      <w:r w:rsidRPr="00B5015D">
        <w:rPr>
          <w:rFonts w:ascii="Times New Roman" w:hAnsi="Times New Roman" w:cs="Times New Roman"/>
          <w:bCs/>
          <w:sz w:val="26"/>
          <w:szCs w:val="26"/>
        </w:rPr>
        <w:t xml:space="preserve"> </w:t>
      </w:r>
      <w:r w:rsidR="00493FB0">
        <w:rPr>
          <w:rFonts w:ascii="Times New Roman" w:hAnsi="Times New Roman" w:cs="Times New Roman"/>
          <w:bCs/>
          <w:sz w:val="26"/>
          <w:szCs w:val="26"/>
        </w:rPr>
        <w:t>Основ ценообразования</w:t>
      </w:r>
      <w:r w:rsidRPr="00B5015D">
        <w:rPr>
          <w:rFonts w:ascii="Times New Roman" w:hAnsi="Times New Roman" w:cs="Times New Roman"/>
          <w:bCs/>
          <w:sz w:val="26"/>
          <w:szCs w:val="26"/>
        </w:rPr>
        <w:t xml:space="preserve">. При этом в случае применения методических указаний, предусмотренных пунктом 32 или пунктом 38 </w:t>
      </w:r>
      <w:r w:rsidR="00493FB0">
        <w:rPr>
          <w:rFonts w:ascii="Times New Roman" w:hAnsi="Times New Roman" w:cs="Times New Roman"/>
          <w:bCs/>
          <w:sz w:val="26"/>
          <w:szCs w:val="26"/>
        </w:rPr>
        <w:t>Основ ценообразования</w:t>
      </w:r>
      <w:r w:rsidRPr="00B5015D">
        <w:rPr>
          <w:rFonts w:ascii="Times New Roman" w:hAnsi="Times New Roman" w:cs="Times New Roman"/>
          <w:bCs/>
          <w:sz w:val="26"/>
          <w:szCs w:val="26"/>
        </w:rPr>
        <w:t xml:space="preserve">, не применяются (не устанавливаются) следующие долгосрочные параметры регулирования - базовый уровень операционных (подконтрольных) расходов, индекс эффективности операционных (подконтрольных) расходов и коэффициент </w:t>
      </w:r>
      <w:r w:rsidRPr="00B5015D">
        <w:rPr>
          <w:rFonts w:ascii="Times New Roman" w:hAnsi="Times New Roman" w:cs="Times New Roman"/>
          <w:bCs/>
          <w:sz w:val="26"/>
          <w:szCs w:val="26"/>
        </w:rPr>
        <w:lastRenderedPageBreak/>
        <w:t>эластичности операционных (подконтрольных) расходов террит</w:t>
      </w:r>
      <w:r>
        <w:rPr>
          <w:rFonts w:ascii="Times New Roman" w:hAnsi="Times New Roman" w:cs="Times New Roman"/>
          <w:bCs/>
          <w:sz w:val="26"/>
          <w:szCs w:val="26"/>
        </w:rPr>
        <w:t>ориальных сетевых организаций."</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абзац девятый изложить в следующей редакции:</w:t>
      </w:r>
    </w:p>
    <w:p w:rsidR="00B5015D" w:rsidRPr="00B5015D" w:rsidRDefault="00B5015D" w:rsidP="00493FB0">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 xml:space="preserve">"порядок расчета необходимой валовой выручки сетевой организации, которая может быть определена в соответствии с методическими указаниями, предусмотренными пунктом 32 или пунктом 38 </w:t>
      </w:r>
      <w:r w:rsidR="00493FB0">
        <w:rPr>
          <w:rFonts w:ascii="Times New Roman" w:hAnsi="Times New Roman" w:cs="Times New Roman"/>
          <w:bCs/>
          <w:sz w:val="26"/>
          <w:szCs w:val="26"/>
        </w:rPr>
        <w:t>Основ ценообразования</w:t>
      </w:r>
      <w:r w:rsidRPr="00B5015D">
        <w:rPr>
          <w:rFonts w:ascii="Times New Roman" w:hAnsi="Times New Roman" w:cs="Times New Roman"/>
          <w:bCs/>
          <w:sz w:val="26"/>
          <w:szCs w:val="26"/>
        </w:rPr>
        <w:t>, с учетом особенностей, определенных в соглашении об условиях осуществления регулируемых видов деятельности;";</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в абзаце одиннадцатом слова "а также порядок применения базового уровня операционных (подконтрольных) расходов" исключить;</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з) дополнить пунктом 38</w:t>
      </w:r>
      <w:r w:rsidRPr="00493FB0">
        <w:rPr>
          <w:rFonts w:ascii="Times New Roman" w:hAnsi="Times New Roman" w:cs="Times New Roman"/>
          <w:bCs/>
          <w:sz w:val="26"/>
          <w:szCs w:val="26"/>
          <w:vertAlign w:val="superscript"/>
        </w:rPr>
        <w:t>4</w:t>
      </w:r>
      <w:r w:rsidRPr="00B5015D">
        <w:rPr>
          <w:rFonts w:ascii="Times New Roman" w:hAnsi="Times New Roman" w:cs="Times New Roman"/>
          <w:bCs/>
          <w:sz w:val="26"/>
          <w:szCs w:val="26"/>
        </w:rPr>
        <w:t xml:space="preserve"> следующего содержания:</w:t>
      </w:r>
    </w:p>
    <w:p w:rsidR="00B5015D" w:rsidRPr="00B5015D" w:rsidRDefault="00B5015D" w:rsidP="00493FB0">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"38</w:t>
      </w:r>
      <w:r w:rsidRPr="00493FB0">
        <w:rPr>
          <w:rFonts w:ascii="Times New Roman" w:hAnsi="Times New Roman" w:cs="Times New Roman"/>
          <w:bCs/>
          <w:sz w:val="26"/>
          <w:szCs w:val="26"/>
          <w:vertAlign w:val="superscript"/>
        </w:rPr>
        <w:t>4</w:t>
      </w:r>
      <w:r w:rsidRPr="00B5015D">
        <w:rPr>
          <w:rFonts w:ascii="Times New Roman" w:hAnsi="Times New Roman" w:cs="Times New Roman"/>
          <w:bCs/>
          <w:sz w:val="26"/>
          <w:szCs w:val="26"/>
        </w:rPr>
        <w:t xml:space="preserve">. Для территориальных сетевых организаций, за исключением указанных в абзацах девятом, восемнадцатом - двадцать первом настоящего пункта, операционные (подконтрольные) расходы определяются в соответствии с методическими указаниями, предусмотренными пунктом 32 </w:t>
      </w:r>
      <w:r w:rsidR="00493FB0">
        <w:rPr>
          <w:rFonts w:ascii="Times New Roman" w:hAnsi="Times New Roman" w:cs="Times New Roman"/>
          <w:bCs/>
          <w:sz w:val="26"/>
          <w:szCs w:val="26"/>
        </w:rPr>
        <w:t>Основ ценообразования</w:t>
      </w:r>
      <w:r w:rsidRPr="00B5015D">
        <w:rPr>
          <w:rFonts w:ascii="Times New Roman" w:hAnsi="Times New Roman" w:cs="Times New Roman"/>
          <w:bCs/>
          <w:sz w:val="26"/>
          <w:szCs w:val="26"/>
        </w:rPr>
        <w:t xml:space="preserve">, или в соответствии с методическими указаниями, предусмотренными пунктом 38 </w:t>
      </w:r>
      <w:r w:rsidR="00493FB0">
        <w:rPr>
          <w:rFonts w:ascii="Times New Roman" w:hAnsi="Times New Roman" w:cs="Times New Roman"/>
          <w:bCs/>
          <w:sz w:val="26"/>
          <w:szCs w:val="26"/>
        </w:rPr>
        <w:t>Основ ценообразования</w:t>
      </w:r>
      <w:r w:rsidRPr="00B5015D">
        <w:rPr>
          <w:rFonts w:ascii="Times New Roman" w:hAnsi="Times New Roman" w:cs="Times New Roman"/>
          <w:bCs/>
          <w:sz w:val="26"/>
          <w:szCs w:val="26"/>
        </w:rPr>
        <w:t>, исходя из:</w:t>
      </w:r>
    </w:p>
    <w:p w:rsidR="00B5015D" w:rsidRPr="00B5015D" w:rsidRDefault="00493FB0" w:rsidP="00493FB0">
      <w:pPr>
        <w:autoSpaceDE w:val="0"/>
        <w:autoSpaceDN w:val="0"/>
        <w:adjustRightInd w:val="0"/>
        <w:spacing w:after="0" w:line="240" w:lineRule="auto"/>
        <w:ind w:firstLine="708"/>
        <w:jc w:val="both"/>
        <w:rPr>
          <w:rFonts w:ascii="Times New Roman" w:hAnsi="Times New Roman" w:cs="Times New Roman"/>
          <w:bCs/>
          <w:sz w:val="26"/>
          <w:szCs w:val="26"/>
        </w:rPr>
      </w:pPr>
      <w:r>
        <w:rPr>
          <w:rFonts w:ascii="Times New Roman" w:hAnsi="Times New Roman" w:cs="Times New Roman"/>
          <w:bCs/>
          <w:sz w:val="26"/>
          <w:szCs w:val="26"/>
        </w:rPr>
        <w:t>-</w:t>
      </w:r>
      <w:r w:rsidR="00B5015D" w:rsidRPr="00B5015D">
        <w:rPr>
          <w:rFonts w:ascii="Times New Roman" w:hAnsi="Times New Roman" w:cs="Times New Roman"/>
          <w:bCs/>
          <w:sz w:val="26"/>
          <w:szCs w:val="26"/>
        </w:rPr>
        <w:t xml:space="preserve">значений эталонов затрат территориальных сетевых организаций, предусмотренных приложением № 8 </w:t>
      </w:r>
      <w:r w:rsidR="00B5015D">
        <w:rPr>
          <w:rFonts w:ascii="Times New Roman" w:hAnsi="Times New Roman" w:cs="Times New Roman"/>
          <w:bCs/>
          <w:sz w:val="26"/>
          <w:szCs w:val="26"/>
        </w:rPr>
        <w:t>Основ ценообразования</w:t>
      </w:r>
      <w:r w:rsidR="00B5015D" w:rsidRPr="00B5015D">
        <w:rPr>
          <w:rFonts w:ascii="Times New Roman" w:hAnsi="Times New Roman" w:cs="Times New Roman"/>
          <w:bCs/>
          <w:sz w:val="26"/>
          <w:szCs w:val="26"/>
        </w:rPr>
        <w:t>;</w:t>
      </w:r>
    </w:p>
    <w:p w:rsidR="00B5015D" w:rsidRPr="00B5015D" w:rsidRDefault="00493FB0" w:rsidP="00493FB0">
      <w:pPr>
        <w:autoSpaceDE w:val="0"/>
        <w:autoSpaceDN w:val="0"/>
        <w:adjustRightInd w:val="0"/>
        <w:spacing w:after="0" w:line="240" w:lineRule="auto"/>
        <w:ind w:firstLine="708"/>
        <w:jc w:val="both"/>
        <w:rPr>
          <w:rFonts w:ascii="Times New Roman" w:hAnsi="Times New Roman" w:cs="Times New Roman"/>
          <w:bCs/>
          <w:sz w:val="26"/>
          <w:szCs w:val="26"/>
        </w:rPr>
      </w:pPr>
      <w:r>
        <w:rPr>
          <w:rFonts w:ascii="Times New Roman" w:hAnsi="Times New Roman" w:cs="Times New Roman"/>
          <w:bCs/>
          <w:sz w:val="26"/>
          <w:szCs w:val="26"/>
        </w:rPr>
        <w:t>-</w:t>
      </w:r>
      <w:r w:rsidR="00B5015D" w:rsidRPr="00B5015D">
        <w:rPr>
          <w:rFonts w:ascii="Times New Roman" w:hAnsi="Times New Roman" w:cs="Times New Roman"/>
          <w:bCs/>
          <w:sz w:val="26"/>
          <w:szCs w:val="26"/>
        </w:rPr>
        <w:t xml:space="preserve">регионального коэффициента, предусмотренного приложением № 9 </w:t>
      </w:r>
      <w:r w:rsidR="00B5015D">
        <w:rPr>
          <w:rFonts w:ascii="Times New Roman" w:hAnsi="Times New Roman" w:cs="Times New Roman"/>
          <w:bCs/>
          <w:sz w:val="26"/>
          <w:szCs w:val="26"/>
        </w:rPr>
        <w:t>Основ ценообразования</w:t>
      </w:r>
      <w:r w:rsidR="00B5015D" w:rsidRPr="00B5015D">
        <w:rPr>
          <w:rFonts w:ascii="Times New Roman" w:hAnsi="Times New Roman" w:cs="Times New Roman"/>
          <w:bCs/>
          <w:sz w:val="26"/>
          <w:szCs w:val="26"/>
        </w:rPr>
        <w:t>;</w:t>
      </w:r>
    </w:p>
    <w:p w:rsidR="00B5015D" w:rsidRPr="00B5015D" w:rsidRDefault="00493FB0" w:rsidP="00493FB0">
      <w:pPr>
        <w:autoSpaceDE w:val="0"/>
        <w:autoSpaceDN w:val="0"/>
        <w:adjustRightInd w:val="0"/>
        <w:spacing w:after="0" w:line="240" w:lineRule="auto"/>
        <w:ind w:firstLine="708"/>
        <w:jc w:val="both"/>
        <w:rPr>
          <w:rFonts w:ascii="Times New Roman" w:hAnsi="Times New Roman" w:cs="Times New Roman"/>
          <w:bCs/>
          <w:sz w:val="26"/>
          <w:szCs w:val="26"/>
        </w:rPr>
      </w:pPr>
      <w:r>
        <w:rPr>
          <w:rFonts w:ascii="Times New Roman" w:hAnsi="Times New Roman" w:cs="Times New Roman"/>
          <w:bCs/>
          <w:sz w:val="26"/>
          <w:szCs w:val="26"/>
        </w:rPr>
        <w:t>-</w:t>
      </w:r>
      <w:r w:rsidR="00B5015D" w:rsidRPr="00B5015D">
        <w:rPr>
          <w:rFonts w:ascii="Times New Roman" w:hAnsi="Times New Roman" w:cs="Times New Roman"/>
          <w:bCs/>
          <w:sz w:val="26"/>
          <w:szCs w:val="26"/>
        </w:rPr>
        <w:t xml:space="preserve">коэффициента распределения сетей территориальных сетевых организаций, предусмотренного приложением № 10 </w:t>
      </w:r>
      <w:r w:rsidR="00B5015D">
        <w:rPr>
          <w:rFonts w:ascii="Times New Roman" w:hAnsi="Times New Roman" w:cs="Times New Roman"/>
          <w:bCs/>
          <w:sz w:val="26"/>
          <w:szCs w:val="26"/>
        </w:rPr>
        <w:t>Основ ценообразования</w:t>
      </w:r>
      <w:r w:rsidR="00B5015D" w:rsidRPr="00B5015D">
        <w:rPr>
          <w:rFonts w:ascii="Times New Roman" w:hAnsi="Times New Roman" w:cs="Times New Roman"/>
          <w:bCs/>
          <w:sz w:val="26"/>
          <w:szCs w:val="26"/>
        </w:rPr>
        <w:t>;</w:t>
      </w:r>
    </w:p>
    <w:p w:rsidR="00B5015D" w:rsidRPr="00B5015D" w:rsidRDefault="00493FB0" w:rsidP="00493FB0">
      <w:pPr>
        <w:autoSpaceDE w:val="0"/>
        <w:autoSpaceDN w:val="0"/>
        <w:adjustRightInd w:val="0"/>
        <w:spacing w:after="0" w:line="240" w:lineRule="auto"/>
        <w:ind w:firstLine="708"/>
        <w:jc w:val="both"/>
        <w:rPr>
          <w:rFonts w:ascii="Times New Roman" w:hAnsi="Times New Roman" w:cs="Times New Roman"/>
          <w:bCs/>
          <w:sz w:val="26"/>
          <w:szCs w:val="26"/>
        </w:rPr>
      </w:pPr>
      <w:r>
        <w:rPr>
          <w:rFonts w:ascii="Times New Roman" w:hAnsi="Times New Roman" w:cs="Times New Roman"/>
          <w:bCs/>
          <w:sz w:val="26"/>
          <w:szCs w:val="26"/>
        </w:rPr>
        <w:t>-</w:t>
      </w:r>
      <w:r w:rsidR="00B5015D" w:rsidRPr="00B5015D">
        <w:rPr>
          <w:rFonts w:ascii="Times New Roman" w:hAnsi="Times New Roman" w:cs="Times New Roman"/>
          <w:bCs/>
          <w:sz w:val="26"/>
          <w:szCs w:val="26"/>
        </w:rPr>
        <w:t xml:space="preserve">коэффициента учета влияния сроков эксплуатации оборудования, предусмотренного приложением № 11 </w:t>
      </w:r>
      <w:r w:rsidR="00B5015D">
        <w:rPr>
          <w:rFonts w:ascii="Times New Roman" w:hAnsi="Times New Roman" w:cs="Times New Roman"/>
          <w:bCs/>
          <w:sz w:val="26"/>
          <w:szCs w:val="26"/>
        </w:rPr>
        <w:t>Основ ценообразования</w:t>
      </w:r>
      <w:r w:rsidR="00B5015D" w:rsidRPr="00B5015D">
        <w:rPr>
          <w:rFonts w:ascii="Times New Roman" w:hAnsi="Times New Roman" w:cs="Times New Roman"/>
          <w:bCs/>
          <w:sz w:val="26"/>
          <w:szCs w:val="26"/>
        </w:rPr>
        <w:t>;</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данных о фактическом количестве объектов электросетевого хозяйства, принадлежащих территориальной сетевой организации на праве собственности или на ином законном основании и применяемых в сфере оказания услуг по передаче электрической энергии за последний отчетный период текущего года, вторичного оборудования, обеспечивающего функционирование и управление первичным (основным) электросетевым оборудованием, непосредственно участвующим в процессе передачи и распределения электрической энергии, а также данных о приборах учета электрической энергии и иного оборудования, которые необходимы для выполнения в соответствии с пунктом 5 статьи 37 Федерального закона "Об электроэнергетике" обязанностей по обеспечению коммерческого учета электрической энергии (мощности). В отношении территориальных сетевых организаций,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дополнительно учитываются данные об объектах электросетевого хозяйства, планируемых к вводу после отчетного периода, за который предоставлены фактические данные, в том числе в соответствии с долгосрочной инвестиционной программой.</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B5015D">
        <w:rPr>
          <w:rFonts w:ascii="Times New Roman" w:hAnsi="Times New Roman" w:cs="Times New Roman"/>
          <w:bCs/>
          <w:sz w:val="26"/>
          <w:szCs w:val="26"/>
        </w:rPr>
        <w:t xml:space="preserve">При определении операционных (подконтрольных) расходов территориальных сетевых организаций, у которых более 80 процентов количества условных единиц, относящихся к объектам электросетевого хозяйства, участвующих в регулируемой </w:t>
      </w:r>
      <w:r w:rsidRPr="00B5015D">
        <w:rPr>
          <w:rFonts w:ascii="Times New Roman" w:hAnsi="Times New Roman" w:cs="Times New Roman"/>
          <w:bCs/>
          <w:sz w:val="26"/>
          <w:szCs w:val="26"/>
        </w:rPr>
        <w:lastRenderedPageBreak/>
        <w:t>деятельности, расположено на территориях городских населенных пунктов в соответствии с данными первичного бухгалтерского учета, к значениям эталонов затрат территориальных сетевых организаций дополнительно к указанным в абзацах третьем - пятом настоящего пункта коэффициентам применяется понижающий коэффициент 0,9 (за исключением территориальных сетевых организаций, осуществляющих регулируемую деятельность на территориях городов федерального значения).</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B5015D">
        <w:rPr>
          <w:rFonts w:ascii="Times New Roman" w:hAnsi="Times New Roman" w:cs="Times New Roman"/>
          <w:bCs/>
          <w:sz w:val="26"/>
          <w:szCs w:val="26"/>
        </w:rPr>
        <w:t xml:space="preserve">Для территориальных сетевых организаций, собственником которых является единый хозяйствующий субъект железнодорожного транспорта или дочернее (зависимое) общество такого субъекта, которое владеет инфраструктурой железнодорожного транспорта общего пользования, или права акционера или собственника имущества которых осуществляют Российская Федерация в лице Министерства обороны Российской Федерации и (или) подведомственные Министерству обороны Российской Федерации организации, операционные (подконтрольные) расходы территориальных сетевых организаций определяются в соответствии с методическими указаниями, предусмотренными пунктом 32 </w:t>
      </w:r>
      <w:r w:rsidR="00493FB0">
        <w:rPr>
          <w:rFonts w:ascii="Times New Roman" w:hAnsi="Times New Roman" w:cs="Times New Roman"/>
          <w:bCs/>
          <w:sz w:val="26"/>
          <w:szCs w:val="26"/>
        </w:rPr>
        <w:t>Основ ценообразования</w:t>
      </w:r>
      <w:r w:rsidRPr="00B5015D">
        <w:rPr>
          <w:rFonts w:ascii="Times New Roman" w:hAnsi="Times New Roman" w:cs="Times New Roman"/>
          <w:bCs/>
          <w:sz w:val="26"/>
          <w:szCs w:val="26"/>
        </w:rPr>
        <w:t xml:space="preserve">, или в соответствии с методическими указаниями, предусмотренными пунктом 38 </w:t>
      </w:r>
      <w:r>
        <w:rPr>
          <w:rFonts w:ascii="Times New Roman" w:hAnsi="Times New Roman" w:cs="Times New Roman"/>
          <w:bCs/>
          <w:sz w:val="26"/>
          <w:szCs w:val="26"/>
        </w:rPr>
        <w:t>Основ ценообразования</w:t>
      </w:r>
      <w:r w:rsidRPr="00B5015D">
        <w:rPr>
          <w:rFonts w:ascii="Times New Roman" w:hAnsi="Times New Roman" w:cs="Times New Roman"/>
          <w:bCs/>
          <w:sz w:val="26"/>
          <w:szCs w:val="26"/>
        </w:rPr>
        <w:t>, исходя из:</w:t>
      </w:r>
    </w:p>
    <w:p w:rsidR="00B5015D" w:rsidRPr="00B5015D" w:rsidRDefault="00493FB0" w:rsidP="00493FB0">
      <w:pPr>
        <w:autoSpaceDE w:val="0"/>
        <w:autoSpaceDN w:val="0"/>
        <w:adjustRightInd w:val="0"/>
        <w:spacing w:after="0" w:line="240" w:lineRule="auto"/>
        <w:ind w:firstLine="708"/>
        <w:jc w:val="both"/>
        <w:rPr>
          <w:rFonts w:ascii="Times New Roman" w:hAnsi="Times New Roman" w:cs="Times New Roman"/>
          <w:bCs/>
          <w:sz w:val="26"/>
          <w:szCs w:val="26"/>
        </w:rPr>
      </w:pPr>
      <w:r>
        <w:rPr>
          <w:rFonts w:ascii="Times New Roman" w:hAnsi="Times New Roman" w:cs="Times New Roman"/>
          <w:bCs/>
          <w:sz w:val="26"/>
          <w:szCs w:val="26"/>
        </w:rPr>
        <w:t>-</w:t>
      </w:r>
      <w:r w:rsidR="00B5015D" w:rsidRPr="00B5015D">
        <w:rPr>
          <w:rFonts w:ascii="Times New Roman" w:hAnsi="Times New Roman" w:cs="Times New Roman"/>
          <w:bCs/>
          <w:sz w:val="26"/>
          <w:szCs w:val="26"/>
        </w:rPr>
        <w:t xml:space="preserve">значений эталонов затрат территориальных сетевых организаций, предусмотренных приложением № 8 </w:t>
      </w:r>
      <w:r>
        <w:rPr>
          <w:rFonts w:ascii="Times New Roman" w:hAnsi="Times New Roman" w:cs="Times New Roman"/>
          <w:bCs/>
          <w:sz w:val="26"/>
          <w:szCs w:val="26"/>
        </w:rPr>
        <w:t>Основ ценообразования</w:t>
      </w:r>
      <w:r w:rsidR="00B5015D" w:rsidRPr="00B5015D">
        <w:rPr>
          <w:rFonts w:ascii="Times New Roman" w:hAnsi="Times New Roman" w:cs="Times New Roman"/>
          <w:bCs/>
          <w:sz w:val="26"/>
          <w:szCs w:val="26"/>
        </w:rPr>
        <w:t>;</w:t>
      </w:r>
    </w:p>
    <w:p w:rsidR="00970565" w:rsidRDefault="00493FB0" w:rsidP="00493FB0">
      <w:pPr>
        <w:autoSpaceDE w:val="0"/>
        <w:autoSpaceDN w:val="0"/>
        <w:adjustRightInd w:val="0"/>
        <w:spacing w:after="0" w:line="240" w:lineRule="auto"/>
        <w:ind w:firstLine="708"/>
        <w:jc w:val="both"/>
        <w:rPr>
          <w:rFonts w:ascii="Times New Roman" w:hAnsi="Times New Roman" w:cs="Times New Roman"/>
          <w:bCs/>
          <w:sz w:val="26"/>
          <w:szCs w:val="26"/>
        </w:rPr>
      </w:pPr>
      <w:r>
        <w:rPr>
          <w:rFonts w:ascii="Times New Roman" w:hAnsi="Times New Roman" w:cs="Times New Roman"/>
          <w:bCs/>
          <w:sz w:val="26"/>
          <w:szCs w:val="26"/>
        </w:rPr>
        <w:t>-</w:t>
      </w:r>
      <w:r w:rsidR="00B5015D" w:rsidRPr="00B5015D">
        <w:rPr>
          <w:rFonts w:ascii="Times New Roman" w:hAnsi="Times New Roman" w:cs="Times New Roman"/>
          <w:bCs/>
          <w:sz w:val="26"/>
          <w:szCs w:val="26"/>
        </w:rPr>
        <w:t xml:space="preserve">коэффициента учета влияния сроков эксплуатации оборудования, предусмотренного приложением № 11 </w:t>
      </w:r>
      <w:r>
        <w:rPr>
          <w:rFonts w:ascii="Times New Roman" w:hAnsi="Times New Roman" w:cs="Times New Roman"/>
          <w:bCs/>
          <w:sz w:val="26"/>
          <w:szCs w:val="26"/>
        </w:rPr>
        <w:t>Основ ценообразования</w:t>
      </w:r>
      <w:r w:rsidR="00B5015D" w:rsidRPr="00B5015D">
        <w:rPr>
          <w:rFonts w:ascii="Times New Roman" w:hAnsi="Times New Roman" w:cs="Times New Roman"/>
          <w:bCs/>
          <w:sz w:val="26"/>
          <w:szCs w:val="26"/>
        </w:rPr>
        <w:t>;</w:t>
      </w:r>
    </w:p>
    <w:p w:rsidR="00B5015D" w:rsidRPr="00B5015D" w:rsidRDefault="00493FB0" w:rsidP="00493FB0">
      <w:pPr>
        <w:autoSpaceDE w:val="0"/>
        <w:autoSpaceDN w:val="0"/>
        <w:adjustRightInd w:val="0"/>
        <w:spacing w:after="0" w:line="240" w:lineRule="auto"/>
        <w:ind w:firstLine="708"/>
        <w:jc w:val="both"/>
        <w:rPr>
          <w:rFonts w:ascii="Times New Roman" w:hAnsi="Times New Roman" w:cs="Times New Roman"/>
          <w:bCs/>
          <w:sz w:val="26"/>
          <w:szCs w:val="26"/>
        </w:rPr>
      </w:pPr>
      <w:r>
        <w:rPr>
          <w:rFonts w:ascii="Times New Roman" w:hAnsi="Times New Roman" w:cs="Times New Roman"/>
          <w:bCs/>
          <w:sz w:val="26"/>
          <w:szCs w:val="26"/>
        </w:rPr>
        <w:t>-</w:t>
      </w:r>
      <w:r w:rsidR="00B5015D" w:rsidRPr="00B5015D">
        <w:rPr>
          <w:rFonts w:ascii="Times New Roman" w:hAnsi="Times New Roman" w:cs="Times New Roman"/>
          <w:bCs/>
          <w:sz w:val="26"/>
          <w:szCs w:val="26"/>
        </w:rPr>
        <w:t xml:space="preserve">коэффициента приведения эталонов затрат, предусмотренного приложением № 12 </w:t>
      </w:r>
      <w:r>
        <w:rPr>
          <w:rFonts w:ascii="Times New Roman" w:hAnsi="Times New Roman" w:cs="Times New Roman"/>
          <w:bCs/>
          <w:sz w:val="26"/>
          <w:szCs w:val="26"/>
        </w:rPr>
        <w:t>Основ ценообразования</w:t>
      </w:r>
      <w:r w:rsidR="00B5015D" w:rsidRPr="00B5015D">
        <w:rPr>
          <w:rFonts w:ascii="Times New Roman" w:hAnsi="Times New Roman" w:cs="Times New Roman"/>
          <w:bCs/>
          <w:sz w:val="26"/>
          <w:szCs w:val="26"/>
        </w:rPr>
        <w:t>;</w:t>
      </w:r>
    </w:p>
    <w:p w:rsidR="00B5015D" w:rsidRPr="00B5015D" w:rsidRDefault="00B5015D" w:rsidP="00B5015D">
      <w:pPr>
        <w:autoSpaceDE w:val="0"/>
        <w:autoSpaceDN w:val="0"/>
        <w:adjustRightInd w:val="0"/>
        <w:spacing w:after="0" w:line="240" w:lineRule="auto"/>
        <w:jc w:val="both"/>
        <w:rPr>
          <w:rFonts w:ascii="Times New Roman" w:hAnsi="Times New Roman" w:cs="Times New Roman"/>
          <w:bCs/>
          <w:sz w:val="26"/>
          <w:szCs w:val="26"/>
        </w:rPr>
      </w:pPr>
      <w:r w:rsidRPr="00B5015D">
        <w:rPr>
          <w:rFonts w:ascii="Times New Roman" w:hAnsi="Times New Roman" w:cs="Times New Roman"/>
          <w:bCs/>
          <w:sz w:val="26"/>
          <w:szCs w:val="26"/>
        </w:rPr>
        <w:t>данных, указанных в абзаце шестом настоящего пункта.</w:t>
      </w:r>
    </w:p>
    <w:p w:rsidR="00B5015D" w:rsidRPr="00B5015D" w:rsidRDefault="00B5015D" w:rsidP="00493FB0">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 xml:space="preserve">Значения эталонов затрат территориальных сетевых организаций и коэффициентов, предусмотренных приложениями № 8, 11 и 12 </w:t>
      </w:r>
      <w:r w:rsidR="00493FB0">
        <w:rPr>
          <w:rFonts w:ascii="Times New Roman" w:hAnsi="Times New Roman" w:cs="Times New Roman"/>
          <w:bCs/>
          <w:sz w:val="26"/>
          <w:szCs w:val="26"/>
        </w:rPr>
        <w:t>Основ ценообразования</w:t>
      </w:r>
      <w:r w:rsidRPr="00B5015D">
        <w:rPr>
          <w:rFonts w:ascii="Times New Roman" w:hAnsi="Times New Roman" w:cs="Times New Roman"/>
          <w:bCs/>
          <w:sz w:val="26"/>
          <w:szCs w:val="26"/>
        </w:rPr>
        <w:t xml:space="preserve">, а также состав групп субъектов Российской Федерации и применяемые в отношении указанных групп значения коэффициентов, предусмотренных приложениями № 9 и 10 </w:t>
      </w:r>
      <w:r w:rsidR="00493FB0">
        <w:rPr>
          <w:rFonts w:ascii="Times New Roman" w:hAnsi="Times New Roman" w:cs="Times New Roman"/>
          <w:bCs/>
          <w:sz w:val="26"/>
          <w:szCs w:val="26"/>
        </w:rPr>
        <w:t>Основ ценообразования</w:t>
      </w:r>
      <w:r w:rsidRPr="00B5015D">
        <w:rPr>
          <w:rFonts w:ascii="Times New Roman" w:hAnsi="Times New Roman" w:cs="Times New Roman"/>
          <w:bCs/>
          <w:sz w:val="26"/>
          <w:szCs w:val="26"/>
        </w:rPr>
        <w:t>, пересматриваются один раз в 3 года по решению Правительства Российской Федерации на основании анализа изменения величины затрат территориальных сетевых организаций, но не ранее 2031 года.</w:t>
      </w:r>
    </w:p>
    <w:p w:rsidR="00B5015D" w:rsidRPr="00B5015D" w:rsidRDefault="00B5015D" w:rsidP="00493FB0">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 xml:space="preserve">При определении регулирующими органами на очередной период регулирования операционных (подконтрольных) расходов территориальных сетевых организаций с применением эталонов затрат, в том числе применяется индекс потребительских цен в соответствии с прогнозом социально-экономического развития Российской Федерации в порядке, установленном методическими указаниями, предусмотренными пунктом 32 или пунктом 38 </w:t>
      </w:r>
      <w:r w:rsidR="00493FB0">
        <w:rPr>
          <w:rFonts w:ascii="Times New Roman" w:hAnsi="Times New Roman" w:cs="Times New Roman"/>
          <w:bCs/>
          <w:sz w:val="26"/>
          <w:szCs w:val="26"/>
        </w:rPr>
        <w:t>Основ ценообразования</w:t>
      </w:r>
      <w:r w:rsidRPr="00B5015D">
        <w:rPr>
          <w:rFonts w:ascii="Times New Roman" w:hAnsi="Times New Roman" w:cs="Times New Roman"/>
          <w:bCs/>
          <w:sz w:val="26"/>
          <w:szCs w:val="26"/>
        </w:rPr>
        <w:t xml:space="preserve">. При проведении регулирующими органами корректировки операционных (подконтрольных) расходов территориальных сетевых организаций, рассчитанных с применением эталонов затрат территориальных сетевых организаций, в том числе учитывается совокупный композитный индекс, определяемый в порядке, установленном в методических указаниях, предусмотренных пунктом 32 или пунктом 38 </w:t>
      </w:r>
      <w:r w:rsidR="00493FB0">
        <w:rPr>
          <w:rFonts w:ascii="Times New Roman" w:hAnsi="Times New Roman" w:cs="Times New Roman"/>
          <w:bCs/>
          <w:sz w:val="26"/>
          <w:szCs w:val="26"/>
        </w:rPr>
        <w:t>Основ ценообразования</w:t>
      </w:r>
      <w:r w:rsidRPr="00B5015D">
        <w:rPr>
          <w:rFonts w:ascii="Times New Roman" w:hAnsi="Times New Roman" w:cs="Times New Roman"/>
          <w:bCs/>
          <w:sz w:val="26"/>
          <w:szCs w:val="26"/>
        </w:rPr>
        <w:t xml:space="preserve">, исходя из показателя роста среднемесячной начисленной заработной платы работников организаций, индекса цен производителей, в том числе без продукции топливно-энергетического комплекса, индекса потребительских цен, индекса эффективности </w:t>
      </w:r>
      <w:r w:rsidRPr="00B5015D">
        <w:rPr>
          <w:rFonts w:ascii="Times New Roman" w:hAnsi="Times New Roman" w:cs="Times New Roman"/>
          <w:bCs/>
          <w:sz w:val="26"/>
          <w:szCs w:val="26"/>
        </w:rPr>
        <w:lastRenderedPageBreak/>
        <w:t>в размере 0,1 процента, а также учета отраслевых тарифных соглашений при условии присоединения к ним территориальных сетевых организаций.</w:t>
      </w:r>
    </w:p>
    <w:p w:rsidR="00B5015D" w:rsidRPr="00B5015D" w:rsidRDefault="00B5015D" w:rsidP="00493FB0">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До окончания текущего долгосрочного периода регулирования в случае перехода к территориальной сетевой организации права собственности или иного предусмотренного законом права на все объекты электросетевого хозяйства, ранее используемые иной территориальной сетевой организацией для осуществления регулируемой деятельности, при определении операционных (подконтрольных) расходов с применением эталонов затрат территориальных сетевых организаций в отношении указанных объектов электросетевого хозяйства, права собственности или иные предусмотренные законом права на которые в полном объеме перешли к территориальной сетевой организации, не применяется коэффициент распределения сетей территориальных сетевых организаций.</w:t>
      </w:r>
    </w:p>
    <w:p w:rsidR="00B5015D" w:rsidRPr="00B5015D" w:rsidRDefault="00B5015D" w:rsidP="00493FB0">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При установлении цен (тарифов) на услуги по передаче электрической энергии расчет операционных (подконтрольных) расходов с применением эталонов затрат территориальных сетевых организаций не допускается в отношении:</w:t>
      </w:r>
    </w:p>
    <w:p w:rsidR="00B5015D" w:rsidRPr="00B5015D" w:rsidRDefault="00B5015D" w:rsidP="00493FB0">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территориальных сетевых организаций, которые являются потребителями электрической энергии и одновременно используют принадлежащие им на праве собственности или на ином законном основании объекты электросетевого хозяйства как для оказания услуг по передаче электрической энергии, так и преимущественно для удовлетворения собственных производственных нужд (за исключением территориальных сетевых организаций, собственником которых является единый хозяйствующий субъект железнодорожного транспорта или дочернее (зависимое) общество такого субъекта, которое владеет инфраструктурой железнодорожного транспорта общего пользования);</w:t>
      </w:r>
    </w:p>
    <w:p w:rsidR="00B5015D" w:rsidRPr="00B5015D" w:rsidRDefault="00B5015D" w:rsidP="00493FB0">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 xml:space="preserve">территориальных сетевых организаций, соответствующих критериям, установленным приложением № 3 </w:t>
      </w:r>
      <w:r w:rsidR="00493FB0">
        <w:rPr>
          <w:rFonts w:ascii="Times New Roman" w:hAnsi="Times New Roman" w:cs="Times New Roman"/>
          <w:bCs/>
          <w:sz w:val="26"/>
          <w:szCs w:val="26"/>
        </w:rPr>
        <w:t>Основ ценообразования</w:t>
      </w:r>
      <w:r w:rsidRPr="00B5015D">
        <w:rPr>
          <w:rFonts w:ascii="Times New Roman" w:hAnsi="Times New Roman" w:cs="Times New Roman"/>
          <w:bCs/>
          <w:sz w:val="26"/>
          <w:szCs w:val="26"/>
        </w:rPr>
        <w:t>;</w:t>
      </w:r>
    </w:p>
    <w:p w:rsidR="00B5015D" w:rsidRPr="00B5015D" w:rsidRDefault="00B5015D" w:rsidP="00493FB0">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территориальных сетевых организаций, оказывающих услуги по передаче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на территориях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w:t>
      </w:r>
    </w:p>
    <w:p w:rsidR="00B5015D" w:rsidRPr="00B5015D" w:rsidRDefault="00B5015D" w:rsidP="00493FB0">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Под преимущественным использованием объектов электросетевого хозяйства для удовлетворения собственных производственных нужд понимаются случаи, когда в совокупности по итогам данных за истекший период текущего года и предшествующий год (при отсутствии фактических данных за годовой период регулирования используются имеющиеся фактические данные) выполняется одно из следующих условий:</w:t>
      </w:r>
    </w:p>
    <w:p w:rsidR="00B5015D" w:rsidRPr="00B5015D" w:rsidRDefault="00B5015D" w:rsidP="00493FB0">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 xml:space="preserve">доля суммарной максимальной мощности </w:t>
      </w:r>
      <w:proofErr w:type="spellStart"/>
      <w:r w:rsidRPr="00B5015D">
        <w:rPr>
          <w:rFonts w:ascii="Times New Roman" w:hAnsi="Times New Roman" w:cs="Times New Roman"/>
          <w:bCs/>
          <w:sz w:val="26"/>
          <w:szCs w:val="26"/>
        </w:rPr>
        <w:t>энергопринимающих</w:t>
      </w:r>
      <w:proofErr w:type="spellEnd"/>
      <w:r w:rsidRPr="00B5015D">
        <w:rPr>
          <w:rFonts w:ascii="Times New Roman" w:hAnsi="Times New Roman" w:cs="Times New Roman"/>
          <w:bCs/>
          <w:sz w:val="26"/>
          <w:szCs w:val="26"/>
        </w:rPr>
        <w:t xml:space="preserve"> устройств, принадлежащих потребителю и присоединенных к принадлежащим ему объектам электросетевого хозяйства, составляет не менее 60 процентов суммарной максимальной мощности всех </w:t>
      </w:r>
      <w:proofErr w:type="spellStart"/>
      <w:r w:rsidRPr="00B5015D">
        <w:rPr>
          <w:rFonts w:ascii="Times New Roman" w:hAnsi="Times New Roman" w:cs="Times New Roman"/>
          <w:bCs/>
          <w:sz w:val="26"/>
          <w:szCs w:val="26"/>
        </w:rPr>
        <w:t>энергопринимающих</w:t>
      </w:r>
      <w:proofErr w:type="spellEnd"/>
      <w:r w:rsidRPr="00B5015D">
        <w:rPr>
          <w:rFonts w:ascii="Times New Roman" w:hAnsi="Times New Roman" w:cs="Times New Roman"/>
          <w:bCs/>
          <w:sz w:val="26"/>
          <w:szCs w:val="26"/>
        </w:rPr>
        <w:t xml:space="preserve"> устройств и принадлежащих иным лицам объектов электросетевого хозяйства, присоединенных к принадлежащим потребителю объектам электросетевого хозяйства;</w:t>
      </w:r>
    </w:p>
    <w:p w:rsidR="00B5015D" w:rsidRPr="00B5015D" w:rsidRDefault="00B5015D" w:rsidP="00493FB0">
      <w:pPr>
        <w:autoSpaceDE w:val="0"/>
        <w:autoSpaceDN w:val="0"/>
        <w:adjustRightInd w:val="0"/>
        <w:spacing w:after="0" w:line="240" w:lineRule="auto"/>
        <w:ind w:firstLine="708"/>
        <w:jc w:val="both"/>
        <w:rPr>
          <w:rFonts w:ascii="Times New Roman" w:hAnsi="Times New Roman" w:cs="Times New Roman"/>
          <w:bCs/>
          <w:sz w:val="26"/>
          <w:szCs w:val="26"/>
        </w:rPr>
      </w:pPr>
      <w:r w:rsidRPr="00B5015D">
        <w:rPr>
          <w:rFonts w:ascii="Times New Roman" w:hAnsi="Times New Roman" w:cs="Times New Roman"/>
          <w:bCs/>
          <w:sz w:val="26"/>
          <w:szCs w:val="26"/>
        </w:rPr>
        <w:t xml:space="preserve">среднемесячная доля отпуска электрической энергии в указанные </w:t>
      </w:r>
      <w:proofErr w:type="spellStart"/>
      <w:r w:rsidRPr="00B5015D">
        <w:rPr>
          <w:rFonts w:ascii="Times New Roman" w:hAnsi="Times New Roman" w:cs="Times New Roman"/>
          <w:bCs/>
          <w:sz w:val="26"/>
          <w:szCs w:val="26"/>
        </w:rPr>
        <w:t>энергопринимающие</w:t>
      </w:r>
      <w:proofErr w:type="spellEnd"/>
      <w:r w:rsidRPr="00B5015D">
        <w:rPr>
          <w:rFonts w:ascii="Times New Roman" w:hAnsi="Times New Roman" w:cs="Times New Roman"/>
          <w:bCs/>
          <w:sz w:val="26"/>
          <w:szCs w:val="26"/>
        </w:rPr>
        <w:t xml:space="preserve"> устройства, принадлежащие потребителю, составляет не менее 60 процентов суммарного объема отпуска электрической энергии в </w:t>
      </w:r>
      <w:proofErr w:type="spellStart"/>
      <w:r w:rsidRPr="00B5015D">
        <w:rPr>
          <w:rFonts w:ascii="Times New Roman" w:hAnsi="Times New Roman" w:cs="Times New Roman"/>
          <w:bCs/>
          <w:sz w:val="26"/>
          <w:szCs w:val="26"/>
        </w:rPr>
        <w:lastRenderedPageBreak/>
        <w:t>энергопринимающие</w:t>
      </w:r>
      <w:proofErr w:type="spellEnd"/>
      <w:r w:rsidRPr="00B5015D">
        <w:rPr>
          <w:rFonts w:ascii="Times New Roman" w:hAnsi="Times New Roman" w:cs="Times New Roman"/>
          <w:bCs/>
          <w:sz w:val="26"/>
          <w:szCs w:val="26"/>
        </w:rPr>
        <w:t xml:space="preserve"> устройства и принадлежащие иным лицам объекты электросетевого хозяйства, присоединенные к принадлежащим потребителю объек</w:t>
      </w:r>
      <w:r w:rsidR="00493FB0">
        <w:rPr>
          <w:rFonts w:ascii="Times New Roman" w:hAnsi="Times New Roman" w:cs="Times New Roman"/>
          <w:bCs/>
          <w:sz w:val="26"/>
          <w:szCs w:val="26"/>
        </w:rPr>
        <w:t>там электросетевого хозяйства."</w:t>
      </w:r>
    </w:p>
    <w:sectPr w:rsidR="00B5015D" w:rsidRPr="00B5015D" w:rsidSect="009D1750">
      <w:pgSz w:w="11905" w:h="16838"/>
      <w:pgMar w:top="1134" w:right="851"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081DA1"/>
    <w:multiLevelType w:val="hybridMultilevel"/>
    <w:tmpl w:val="B4BE7D6A"/>
    <w:lvl w:ilvl="0" w:tplc="972E4DB6">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777CF8"/>
    <w:multiLevelType w:val="hybridMultilevel"/>
    <w:tmpl w:val="414666F2"/>
    <w:lvl w:ilvl="0" w:tplc="916415D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15:restartNumberingAfterBreak="0">
    <w:nsid w:val="6BBF5514"/>
    <w:multiLevelType w:val="hybridMultilevel"/>
    <w:tmpl w:val="83AE0848"/>
    <w:lvl w:ilvl="0" w:tplc="F6C0A51A">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62"/>
    <w:rsid w:val="001430C6"/>
    <w:rsid w:val="0021142F"/>
    <w:rsid w:val="00252022"/>
    <w:rsid w:val="002565F9"/>
    <w:rsid w:val="00273F7E"/>
    <w:rsid w:val="002D5E24"/>
    <w:rsid w:val="00312071"/>
    <w:rsid w:val="0035761C"/>
    <w:rsid w:val="00407C5F"/>
    <w:rsid w:val="0047400F"/>
    <w:rsid w:val="00493FB0"/>
    <w:rsid w:val="004E4DEA"/>
    <w:rsid w:val="006B7493"/>
    <w:rsid w:val="006E6ED9"/>
    <w:rsid w:val="00776319"/>
    <w:rsid w:val="007B6F0A"/>
    <w:rsid w:val="00832865"/>
    <w:rsid w:val="00970565"/>
    <w:rsid w:val="009D1750"/>
    <w:rsid w:val="00A23EB1"/>
    <w:rsid w:val="00A53F39"/>
    <w:rsid w:val="00B5015D"/>
    <w:rsid w:val="00B72C76"/>
    <w:rsid w:val="00BA0D62"/>
    <w:rsid w:val="00DD5FE7"/>
    <w:rsid w:val="00EE1724"/>
    <w:rsid w:val="00F76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A62F88-8830-4211-ACB7-B4AB9B99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0D6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A0D6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A0D6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A0D6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A0D62"/>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776319"/>
    <w:pPr>
      <w:ind w:left="720"/>
      <w:contextualSpacing/>
    </w:pPr>
  </w:style>
  <w:style w:type="character" w:styleId="a4">
    <w:name w:val="Hyperlink"/>
    <w:basedOn w:val="a0"/>
    <w:uiPriority w:val="99"/>
    <w:semiHidden/>
    <w:unhideWhenUsed/>
    <w:rsid w:val="00DD5F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6</Pages>
  <Words>2295</Words>
  <Characters>13086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teplo2</dc:creator>
  <cp:keywords/>
  <dc:description/>
  <cp:lastModifiedBy>Elektro2</cp:lastModifiedBy>
  <cp:revision>19</cp:revision>
  <dcterms:created xsi:type="dcterms:W3CDTF">2023-03-13T08:19:00Z</dcterms:created>
  <dcterms:modified xsi:type="dcterms:W3CDTF">2026-02-17T09:14:00Z</dcterms:modified>
</cp:coreProperties>
</file>