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Источник публикации</w:t>
      </w:r>
    </w:p>
    <w:p w:rsidR="00A53F39" w:rsidRPr="00A53F39" w:rsidRDefault="00A53F39" w:rsidP="00A53F39">
      <w:pPr>
        <w:autoSpaceDE w:val="0"/>
        <w:autoSpaceDN w:val="0"/>
        <w:adjustRightInd w:val="0"/>
        <w:spacing w:after="0" w:line="240" w:lineRule="auto"/>
        <w:rPr>
          <w:rFonts w:ascii="Times New Roman" w:hAnsi="Times New Roman" w:cs="Times New Roman"/>
          <w:bCs/>
          <w:sz w:val="24"/>
          <w:szCs w:val="24"/>
        </w:rPr>
      </w:pPr>
      <w:r w:rsidRPr="00A53F39">
        <w:rPr>
          <w:rFonts w:ascii="Times New Roman" w:hAnsi="Times New Roman" w:cs="Times New Roman"/>
          <w:bCs/>
          <w:sz w:val="24"/>
          <w:szCs w:val="24"/>
        </w:rPr>
        <w:t>Официальный интернет-портал правовой информации http://pravo.gov.ru, 29.08.2024,</w:t>
      </w:r>
    </w:p>
    <w:p w:rsidR="00A53F39" w:rsidRDefault="00A53F39" w:rsidP="00A53F39">
      <w:pPr>
        <w:autoSpaceDE w:val="0"/>
        <w:autoSpaceDN w:val="0"/>
        <w:adjustRightInd w:val="0"/>
        <w:spacing w:after="0" w:line="240" w:lineRule="auto"/>
        <w:rPr>
          <w:rFonts w:ascii="Times New Roman" w:hAnsi="Times New Roman" w:cs="Times New Roman"/>
          <w:bCs/>
          <w:sz w:val="24"/>
          <w:szCs w:val="24"/>
        </w:rPr>
      </w:pPr>
      <w:r w:rsidRPr="00A53F39">
        <w:rPr>
          <w:rFonts w:ascii="Times New Roman" w:hAnsi="Times New Roman" w:cs="Times New Roman"/>
          <w:bCs/>
          <w:sz w:val="24"/>
          <w:szCs w:val="24"/>
        </w:rPr>
        <w:t>"Собрание законодательства РФ", 02.09.2024, N 36, ст. 5457</w:t>
      </w:r>
    </w:p>
    <w:p w:rsidR="006B7493" w:rsidRPr="0047400F" w:rsidRDefault="006B7493" w:rsidP="00A53F39">
      <w:pPr>
        <w:autoSpaceDE w:val="0"/>
        <w:autoSpaceDN w:val="0"/>
        <w:adjustRightInd w:val="0"/>
        <w:spacing w:after="0" w:line="240" w:lineRule="auto"/>
        <w:rPr>
          <w:rFonts w:ascii="Times New Roman" w:hAnsi="Times New Roman" w:cs="Times New Roman"/>
          <w:b/>
          <w:bCs/>
          <w:sz w:val="24"/>
          <w:szCs w:val="24"/>
        </w:rPr>
      </w:pPr>
      <w:r w:rsidRPr="0047400F">
        <w:rPr>
          <w:rFonts w:ascii="Times New Roman" w:hAnsi="Times New Roman" w:cs="Times New Roman"/>
          <w:b/>
          <w:bCs/>
          <w:sz w:val="24"/>
          <w:szCs w:val="24"/>
        </w:rPr>
        <w:t>Примечание к документу</w:t>
      </w:r>
    </w:p>
    <w:p w:rsidR="006B7493" w:rsidRPr="0047400F" w:rsidRDefault="006B7493" w:rsidP="006B7493">
      <w:pPr>
        <w:autoSpaceDE w:val="0"/>
        <w:autoSpaceDN w:val="0"/>
        <w:adjustRightInd w:val="0"/>
        <w:spacing w:after="0" w:line="240" w:lineRule="auto"/>
        <w:rPr>
          <w:rFonts w:ascii="Times New Roman" w:hAnsi="Times New Roman" w:cs="Times New Roman"/>
          <w:bCs/>
          <w:sz w:val="24"/>
          <w:szCs w:val="24"/>
        </w:rPr>
      </w:pPr>
      <w:r w:rsidRPr="0047400F">
        <w:rPr>
          <w:rFonts w:ascii="Times New Roman" w:hAnsi="Times New Roman" w:cs="Times New Roman"/>
          <w:bCs/>
          <w:sz w:val="24"/>
          <w:szCs w:val="24"/>
        </w:rPr>
        <w:t xml:space="preserve">Начало действия документа </w:t>
      </w:r>
      <w:r w:rsidR="00A53F39">
        <w:rPr>
          <w:rFonts w:ascii="Times New Roman" w:hAnsi="Times New Roman" w:cs="Times New Roman"/>
          <w:bCs/>
          <w:sz w:val="24"/>
          <w:szCs w:val="24"/>
        </w:rPr>
        <w:t>01.09.2024</w:t>
      </w:r>
    </w:p>
    <w:p w:rsidR="0047400F" w:rsidRPr="0047400F" w:rsidRDefault="0047400F" w:rsidP="0047400F">
      <w:pPr>
        <w:autoSpaceDE w:val="0"/>
        <w:autoSpaceDN w:val="0"/>
        <w:adjustRightInd w:val="0"/>
        <w:spacing w:after="0" w:line="240" w:lineRule="auto"/>
        <w:rPr>
          <w:rFonts w:ascii="Times New Roman" w:hAnsi="Times New Roman" w:cs="Times New Roman"/>
          <w:b/>
          <w:sz w:val="24"/>
          <w:szCs w:val="24"/>
        </w:rPr>
      </w:pPr>
      <w:r w:rsidRPr="0047400F">
        <w:rPr>
          <w:rFonts w:ascii="Times New Roman" w:hAnsi="Times New Roman" w:cs="Times New Roman"/>
          <w:b/>
          <w:sz w:val="24"/>
          <w:szCs w:val="24"/>
        </w:rPr>
        <w:t>Название документа</w:t>
      </w:r>
    </w:p>
    <w:p w:rsidR="00A53F39" w:rsidRPr="00A53F39" w:rsidRDefault="00A53F39" w:rsidP="00A53F39">
      <w:pPr>
        <w:autoSpaceDE w:val="0"/>
        <w:autoSpaceDN w:val="0"/>
        <w:adjustRightInd w:val="0"/>
        <w:spacing w:after="0" w:line="240" w:lineRule="auto"/>
        <w:jc w:val="both"/>
        <w:rPr>
          <w:rFonts w:ascii="Times New Roman" w:hAnsi="Times New Roman" w:cs="Times New Roman"/>
          <w:sz w:val="24"/>
          <w:szCs w:val="24"/>
        </w:rPr>
      </w:pPr>
      <w:r w:rsidRPr="00A53F39">
        <w:rPr>
          <w:rFonts w:ascii="Times New Roman" w:hAnsi="Times New Roman" w:cs="Times New Roman"/>
          <w:sz w:val="24"/>
          <w:szCs w:val="24"/>
        </w:rPr>
        <w:t>Постановление Правительства РФ от 28.08.2024 N 1159</w:t>
      </w:r>
    </w:p>
    <w:p w:rsidR="002565F9" w:rsidRDefault="00A53F39" w:rsidP="00A53F39">
      <w:pPr>
        <w:autoSpaceDE w:val="0"/>
        <w:autoSpaceDN w:val="0"/>
        <w:adjustRightInd w:val="0"/>
        <w:spacing w:after="0" w:line="240" w:lineRule="auto"/>
        <w:jc w:val="both"/>
        <w:rPr>
          <w:rFonts w:ascii="Times New Roman" w:hAnsi="Times New Roman" w:cs="Times New Roman"/>
          <w:sz w:val="24"/>
          <w:szCs w:val="24"/>
        </w:rPr>
      </w:pPr>
      <w:r w:rsidRPr="00A53F39">
        <w:rPr>
          <w:rFonts w:ascii="Times New Roman" w:hAnsi="Times New Roman" w:cs="Times New Roman"/>
          <w:sz w:val="24"/>
          <w:szCs w:val="24"/>
        </w:rPr>
        <w:t>"Об утверждении критериев отнесения территориальных сетевых организаций к системообразующим территориальным сетевым организациям и Правил определения системообразующих территориальных сетевых организаций"</w:t>
      </w:r>
    </w:p>
    <w:p w:rsidR="00A53F39" w:rsidRDefault="00A53F39" w:rsidP="00A53F3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proofErr w:type="spellStart"/>
      <w:r w:rsidRPr="002565F9">
        <w:rPr>
          <w:rFonts w:ascii="Times New Roman" w:hAnsi="Times New Roman" w:cs="Times New Roman"/>
          <w:bCs/>
          <w:sz w:val="24"/>
          <w:szCs w:val="24"/>
        </w:rPr>
        <w:t>КонсультантПлюс</w:t>
      </w:r>
      <w:proofErr w:type="spellEnd"/>
    </w:p>
    <w:p w:rsidR="007B6F0A" w:rsidRDefault="007B6F0A" w:rsidP="00252022">
      <w:pPr>
        <w:autoSpaceDE w:val="0"/>
        <w:autoSpaceDN w:val="0"/>
        <w:adjustRightInd w:val="0"/>
        <w:spacing w:after="0" w:line="240" w:lineRule="auto"/>
        <w:jc w:val="both"/>
        <w:rPr>
          <w:rFonts w:ascii="Times New Roman" w:hAnsi="Times New Roman" w:cs="Times New Roman"/>
          <w:bCs/>
          <w:sz w:val="24"/>
          <w:szCs w:val="24"/>
        </w:rPr>
      </w:pPr>
    </w:p>
    <w:p w:rsidR="00A53F39" w:rsidRDefault="00A53F39" w:rsidP="00A53F39">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ПРАВИТЕЛЬСТВО РОССИЙСКОЙ ФЕДЕРАЦИИ</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ПОСТАНОВЛЕНИЕ</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28 августа 2024 г. N 1159</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УТВЕРЖДЕНИИ КРИТЕРИЕВ</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ОТНЕСЕНИЯ ТЕРРИТОРИАЛЬНЫХ СЕТЕВЫХ ОРГАНИЗАЦИЙ</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 СИСТЕМООБРАЗУЮЩИМ ТЕРРИТОРИАЛЬНЫМ СЕТЕВЫМ ОРГАНИЗАЦИЯМ</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ПРАВИЛ ОПРЕДЕЛЕНИЯ СИСТЕМООБРАЗУЮЩИХ ТЕРРИТОРИАЛЬНЫХ</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СЕТЕВЫХ ОРГАНИЗАЦИЙ</w:t>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w:t>
      </w:r>
      <w:hyperlink r:id="rId4" w:history="1">
        <w:r>
          <w:rPr>
            <w:rFonts w:ascii="Times New Roman" w:hAnsi="Times New Roman" w:cs="Times New Roman"/>
            <w:color w:val="0000FF"/>
            <w:sz w:val="24"/>
            <w:szCs w:val="24"/>
          </w:rPr>
          <w:t>статьей 21</w:t>
        </w:r>
      </w:hyperlink>
      <w:r>
        <w:rPr>
          <w:rFonts w:ascii="Times New Roman" w:hAnsi="Times New Roman" w:cs="Times New Roman"/>
          <w:sz w:val="24"/>
          <w:szCs w:val="24"/>
        </w:rPr>
        <w:t xml:space="preserve"> Федерального закона "Об электроэнергетике" Правительство Российской Федерации постановляет:</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Утвердить прилагаемые: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hyperlink w:anchor="Par36" w:history="1">
        <w:r>
          <w:rPr>
            <w:rFonts w:ascii="Times New Roman" w:hAnsi="Times New Roman" w:cs="Times New Roman"/>
            <w:color w:val="0000FF"/>
            <w:sz w:val="24"/>
            <w:szCs w:val="24"/>
          </w:rPr>
          <w:t>критерии</w:t>
        </w:r>
      </w:hyperlink>
      <w:r>
        <w:rPr>
          <w:rFonts w:ascii="Times New Roman" w:hAnsi="Times New Roman" w:cs="Times New Roman"/>
          <w:sz w:val="24"/>
          <w:szCs w:val="24"/>
        </w:rPr>
        <w:t xml:space="preserve"> отнесения территориальных сетевых организаций к системообразующим территориальным сетевым организациям (далее - критерии);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hyperlink w:anchor="Par56" w:history="1">
        <w:r>
          <w:rPr>
            <w:rFonts w:ascii="Times New Roman" w:hAnsi="Times New Roman" w:cs="Times New Roman"/>
            <w:color w:val="0000FF"/>
            <w:sz w:val="24"/>
            <w:szCs w:val="24"/>
          </w:rPr>
          <w:t>Правила</w:t>
        </w:r>
      </w:hyperlink>
      <w:r>
        <w:rPr>
          <w:rFonts w:ascii="Times New Roman" w:hAnsi="Times New Roman" w:cs="Times New Roman"/>
          <w:sz w:val="24"/>
          <w:szCs w:val="24"/>
        </w:rPr>
        <w:t xml:space="preserve"> определения системообразующих территориальных сетевых организаций (далее - Правила).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Установить, что при определении системообразующей территориальной сетевой организации в 2024 году:</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исполнительный орган субъекта Российской Федерации в области государственного регулирования тарифов (далее - уполномоченный орган) размещает информацию, указанную в </w:t>
      </w:r>
      <w:hyperlink w:anchor="Par72" w:history="1">
        <w:r>
          <w:rPr>
            <w:rFonts w:ascii="Times New Roman" w:hAnsi="Times New Roman" w:cs="Times New Roman"/>
            <w:color w:val="0000FF"/>
            <w:sz w:val="24"/>
            <w:szCs w:val="24"/>
          </w:rPr>
          <w:t>подпункте "а" пункта 6</w:t>
        </w:r>
      </w:hyperlink>
      <w:r>
        <w:rPr>
          <w:rFonts w:ascii="Times New Roman" w:hAnsi="Times New Roman" w:cs="Times New Roman"/>
          <w:sz w:val="24"/>
          <w:szCs w:val="24"/>
        </w:rPr>
        <w:t xml:space="preserve"> Правил, на своем официальном сайте в информационно-телекоммуникационной сети "Интернет", уведомляет территориальную сетевую организацию о ее соответствии </w:t>
      </w:r>
      <w:hyperlink w:anchor="Par36" w:history="1">
        <w:r>
          <w:rPr>
            <w:rFonts w:ascii="Times New Roman" w:hAnsi="Times New Roman" w:cs="Times New Roman"/>
            <w:color w:val="0000FF"/>
            <w:sz w:val="24"/>
            <w:szCs w:val="24"/>
          </w:rPr>
          <w:t>критериям</w:t>
        </w:r>
      </w:hyperlink>
      <w:r>
        <w:rPr>
          <w:rFonts w:ascii="Times New Roman" w:hAnsi="Times New Roman" w:cs="Times New Roman"/>
          <w:sz w:val="24"/>
          <w:szCs w:val="24"/>
        </w:rPr>
        <w:t xml:space="preserve"> и направляет информацию, указанную в </w:t>
      </w:r>
      <w:hyperlink w:anchor="Par72" w:history="1">
        <w:r>
          <w:rPr>
            <w:rFonts w:ascii="Times New Roman" w:hAnsi="Times New Roman" w:cs="Times New Roman"/>
            <w:color w:val="0000FF"/>
            <w:sz w:val="24"/>
            <w:szCs w:val="24"/>
          </w:rPr>
          <w:t>подпункте "а" пункта 6</w:t>
        </w:r>
      </w:hyperlink>
      <w:r>
        <w:rPr>
          <w:rFonts w:ascii="Times New Roman" w:hAnsi="Times New Roman" w:cs="Times New Roman"/>
          <w:sz w:val="24"/>
          <w:szCs w:val="24"/>
        </w:rPr>
        <w:t xml:space="preserve"> Правил, высшему должностному лицу субъекта Российской Федерации для принятия решения об определении системообразующей территориальной сетевой организации не позднее 2 сентября 2024 г.;</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высшее должностное лицо субъекта Российской Федерации не позднее 5 сентября 2024 г. принимает решение об определении системообразующей территориальной сетевой организации, публикует его и размещает на официальном сайте высшего должностного лица в информационно-телекоммуникационной сети "Интернет" в порядке, аналогичном </w:t>
      </w:r>
      <w:r>
        <w:rPr>
          <w:rFonts w:ascii="Times New Roman" w:hAnsi="Times New Roman" w:cs="Times New Roman"/>
          <w:sz w:val="24"/>
          <w:szCs w:val="24"/>
        </w:rPr>
        <w:lastRenderedPageBreak/>
        <w:t>порядку, установленному законодательством соответствующего субъекта Российской Федерации для нормативных правовых актов высшего должностного лица.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На территории субъекта Российской Федерации - города федерального значения Москвы в соответствии с Федеральным </w:t>
      </w:r>
      <w:hyperlink r:id="rId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"Об электроэнергетике" и с учетом особенностей, установленных </w:t>
      </w:r>
      <w:hyperlink r:id="rId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Российской Федерации "О статусе столицы Российской Федерации", решением высшего должностного лица субъекта Российской Федерации - города федерального значения Москвы определяются 2 системообразующие территориальные сетевые организации и устанавливаются границы зон деятельности каждой из них.</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Указанное решение при определении системообразующих территориальных сетевых организаций в 2024 году принимается не позднее 25 сентября 2024 г. на основании информации, указанной в </w:t>
      </w:r>
      <w:hyperlink w:anchor="Par72" w:history="1">
        <w:r>
          <w:rPr>
            <w:rFonts w:ascii="Times New Roman" w:hAnsi="Times New Roman" w:cs="Times New Roman"/>
            <w:color w:val="0000FF"/>
            <w:sz w:val="24"/>
            <w:szCs w:val="24"/>
          </w:rPr>
          <w:t>подпункте "а" пункта 6</w:t>
        </w:r>
      </w:hyperlink>
      <w:r>
        <w:rPr>
          <w:rFonts w:ascii="Times New Roman" w:hAnsi="Times New Roman" w:cs="Times New Roman"/>
          <w:sz w:val="24"/>
          <w:szCs w:val="24"/>
        </w:rPr>
        <w:t xml:space="preserve"> Правил, размещенной уполномоченным органом на своем официальном сайте в информационно-телекоммуникационной сети "Интернет", а также информации, необходимой для установления границ зон деятельности 2 системообразующих территориальных сетевых организаций, направленной высшему должностному лицу субъекта Российской Федерации - города федерального значения Москвы не позднее 2 сентября 2024 г.</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уведомляет 2 территориальные сетевые организации об их соответствии </w:t>
      </w:r>
      <w:hyperlink w:anchor="Par36" w:history="1">
        <w:r>
          <w:rPr>
            <w:rFonts w:ascii="Times New Roman" w:hAnsi="Times New Roman" w:cs="Times New Roman"/>
            <w:color w:val="0000FF"/>
            <w:sz w:val="24"/>
            <w:szCs w:val="24"/>
          </w:rPr>
          <w:t>критериям</w:t>
        </w:r>
      </w:hyperlink>
      <w:r>
        <w:rPr>
          <w:rFonts w:ascii="Times New Roman" w:hAnsi="Times New Roman" w:cs="Times New Roman"/>
          <w:sz w:val="24"/>
          <w:szCs w:val="24"/>
        </w:rPr>
        <w:t xml:space="preserve"> не позднее 2 сентября 2024 г.</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Настоящее постановление вступает в силу с 1 сентября 2024 г.</w:t>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Председатель Правительства</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Российской Федерации</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М.МИШУСТИН</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Утверждены</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Правительства</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Российской Федерации</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28 августа 2024 г. N 1159</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bookmarkStart w:id="0" w:name="Par36"/>
      <w:bookmarkEnd w:id="0"/>
      <w:r>
        <w:rPr>
          <w:rFonts w:ascii="Times New Roman" w:hAnsi="Times New Roman" w:cs="Times New Roman"/>
          <w:b/>
          <w:bCs/>
          <w:sz w:val="24"/>
          <w:szCs w:val="24"/>
        </w:rPr>
        <w:t>КРИТЕРИИ</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ОТНЕСЕНИЯ ТЕРРИТОРИАЛЬНЫХ СЕТЕВЫХ ОРГАНИЗАЦИЙ</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 СИСТЕМООБРАЗУЮЩИМ ТЕРРИТОРИАЛЬНЫМ СЕТЕВЫМ ОРГАНИЗАЦИЯМ</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bookmarkStart w:id="1" w:name="Par40"/>
      <w:bookmarkEnd w:id="1"/>
      <w:r>
        <w:rPr>
          <w:rFonts w:ascii="Times New Roman" w:hAnsi="Times New Roman" w:cs="Times New Roman"/>
          <w:sz w:val="24"/>
          <w:szCs w:val="24"/>
        </w:rPr>
        <w:t xml:space="preserve">1. Соответствие территориальной сетевой организации </w:t>
      </w:r>
      <w:hyperlink r:id="rId7" w:history="1">
        <w:r>
          <w:rPr>
            <w:rFonts w:ascii="Times New Roman" w:hAnsi="Times New Roman" w:cs="Times New Roman"/>
            <w:color w:val="0000FF"/>
            <w:sz w:val="24"/>
            <w:szCs w:val="24"/>
          </w:rPr>
          <w:t>критериям</w:t>
        </w:r>
      </w:hyperlink>
      <w:r>
        <w:rPr>
          <w:rFonts w:ascii="Times New Roman" w:hAnsi="Times New Roman" w:cs="Times New Roman"/>
          <w:sz w:val="24"/>
          <w:szCs w:val="24"/>
        </w:rP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на очередной расчетный период регулирования.</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41"/>
      <w:bookmarkEnd w:id="2"/>
      <w:r>
        <w:rPr>
          <w:rFonts w:ascii="Times New Roman" w:hAnsi="Times New Roman" w:cs="Times New Roman"/>
          <w:sz w:val="24"/>
          <w:szCs w:val="24"/>
        </w:rPr>
        <w:t xml:space="preserve">2. Владение территориальной сетевой организацией на праве собственности и (или) на ином законном основании в году, в котором определяется системообразующая территориальная сетевая организация, а также в течение срока не менее 5 лет подряд, предшествующих указанному году, и на срок не менее долгосрочного периода регулирования, определенного </w:t>
      </w:r>
      <w:hyperlink r:id="rId8" w:history="1">
        <w:r>
          <w:rPr>
            <w:rFonts w:ascii="Times New Roman" w:hAnsi="Times New Roman" w:cs="Times New Roman"/>
            <w:color w:val="0000FF"/>
            <w:sz w:val="24"/>
            <w:szCs w:val="24"/>
          </w:rPr>
          <w:t>пунктом 2</w:t>
        </w:r>
      </w:hyperlink>
      <w:r>
        <w:rPr>
          <w:rFonts w:ascii="Times New Roman" w:hAnsi="Times New Roman" w:cs="Times New Roman"/>
          <w:sz w:val="24"/>
          <w:szCs w:val="24"/>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w:t>
      </w:r>
      <w:r>
        <w:rPr>
          <w:rFonts w:ascii="Times New Roman" w:hAnsi="Times New Roman" w:cs="Times New Roman"/>
          <w:sz w:val="24"/>
          <w:szCs w:val="24"/>
        </w:rPr>
        <w:lastRenderedPageBreak/>
        <w:t xml:space="preserve">регулируемых цен (тарифов) в электроэнергетике",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линиями электропередачи (воздушными и (или) кабельными) проектным классом напряжения 110 </w:t>
      </w:r>
      <w:proofErr w:type="spellStart"/>
      <w:r>
        <w:rPr>
          <w:rFonts w:ascii="Times New Roman" w:hAnsi="Times New Roman" w:cs="Times New Roman"/>
          <w:sz w:val="24"/>
          <w:szCs w:val="24"/>
        </w:rPr>
        <w:t>кВ</w:t>
      </w:r>
      <w:proofErr w:type="spellEnd"/>
      <w:r>
        <w:rPr>
          <w:rFonts w:ascii="Times New Roman" w:hAnsi="Times New Roman" w:cs="Times New Roman"/>
          <w:sz w:val="24"/>
          <w:szCs w:val="24"/>
        </w:rPr>
        <w:t xml:space="preserve"> и выше, сумма протяженностей которых по трассе является наибольшей из сумм протяженностей по трассе линий электропередачи (воздушных и (или) кабельных) проектным классом напряжения 110 </w:t>
      </w:r>
      <w:proofErr w:type="spellStart"/>
      <w:r>
        <w:rPr>
          <w:rFonts w:ascii="Times New Roman" w:hAnsi="Times New Roman" w:cs="Times New Roman"/>
          <w:sz w:val="24"/>
          <w:szCs w:val="24"/>
        </w:rPr>
        <w:t>кВ</w:t>
      </w:r>
      <w:proofErr w:type="spellEnd"/>
      <w:r>
        <w:rPr>
          <w:rFonts w:ascii="Times New Roman" w:hAnsi="Times New Roman" w:cs="Times New Roman"/>
          <w:sz w:val="24"/>
          <w:szCs w:val="24"/>
        </w:rPr>
        <w:t xml:space="preserve"> и выше, которые принадлежат на праве собственности или на ином законном основании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Для целей определения в субъекте Российской Федерации - городе федерального значения Москве второй системообразующей территориальной сетевой организации используется вторая по величине сумма протяженностей линий электропередачи, предусмотренных настоящим пунктом.</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42"/>
      <w:bookmarkEnd w:id="3"/>
      <w:r>
        <w:rPr>
          <w:rFonts w:ascii="Times New Roman" w:hAnsi="Times New Roman" w:cs="Times New Roman"/>
          <w:sz w:val="24"/>
          <w:szCs w:val="24"/>
        </w:rPr>
        <w:t>3. В отношении территориальной сетевой организации не принято судом решение о признании организации банкротом и о введении в отношении нее конкурсного производства.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43"/>
      <w:bookmarkEnd w:id="4"/>
      <w:r>
        <w:rPr>
          <w:rFonts w:ascii="Times New Roman" w:hAnsi="Times New Roman" w:cs="Times New Roman"/>
          <w:sz w:val="24"/>
          <w:szCs w:val="24"/>
        </w:rPr>
        <w:t>4. В едином государственном реестре юридических лиц отсутствуют сведения о нахождении территориальной сетевой организации в процессе ликвидации.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44"/>
      <w:bookmarkEnd w:id="5"/>
      <w:r>
        <w:rPr>
          <w:rFonts w:ascii="Times New Roman" w:hAnsi="Times New Roman" w:cs="Times New Roman"/>
          <w:sz w:val="24"/>
          <w:szCs w:val="24"/>
        </w:rPr>
        <w:t xml:space="preserve">5. Период оборота просроченной кредиторской задолженности системообразующей территориальной сетевой организации за услуги по передаче электрической энергии, оказанные территориальными сетевыми организациями в административных границах субъекта Российской Федерации, не превышает период оборота просроченной дебиторской задолженности системообразующей территориальной сетевой организации за услуги по передаче электрической энергии, оказанные потребителям электрической энергии или лицам, действующим в их интересах, в административных границах субъекта Российской Федерации по состоянию на конец каждого календарного года (оценка соответствия этому критерию производится ежегодно). Критерий, предусмотренный настоящим пунктом, применяется в случаях, указанных в </w:t>
      </w:r>
      <w:hyperlink w:anchor="Par63" w:history="1">
        <w:r>
          <w:rPr>
            <w:rFonts w:ascii="Times New Roman" w:hAnsi="Times New Roman" w:cs="Times New Roman"/>
            <w:color w:val="0000FF"/>
            <w:sz w:val="24"/>
            <w:szCs w:val="24"/>
          </w:rPr>
          <w:t>пунктах 3</w:t>
        </w:r>
      </w:hyperlink>
      <w:r>
        <w:rPr>
          <w:rFonts w:ascii="Times New Roman" w:hAnsi="Times New Roman" w:cs="Times New Roman"/>
          <w:sz w:val="24"/>
          <w:szCs w:val="24"/>
        </w:rPr>
        <w:t xml:space="preserve">, </w:t>
      </w:r>
      <w:hyperlink w:anchor="Par69"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w:t>
      </w:r>
      <w:hyperlink w:anchor="Par80" w:history="1">
        <w:r>
          <w:rPr>
            <w:rFonts w:ascii="Times New Roman" w:hAnsi="Times New Roman" w:cs="Times New Roman"/>
            <w:color w:val="0000FF"/>
            <w:sz w:val="24"/>
            <w:szCs w:val="24"/>
          </w:rPr>
          <w:t>9</w:t>
        </w:r>
      </w:hyperlink>
      <w:r>
        <w:rPr>
          <w:rFonts w:ascii="Times New Roman" w:hAnsi="Times New Roman" w:cs="Times New Roman"/>
          <w:sz w:val="24"/>
          <w:szCs w:val="24"/>
        </w:rPr>
        <w:t xml:space="preserve"> и </w:t>
      </w:r>
      <w:hyperlink w:anchor="Par90" w:history="1">
        <w:r>
          <w:rPr>
            <w:rFonts w:ascii="Times New Roman" w:hAnsi="Times New Roman" w:cs="Times New Roman"/>
            <w:color w:val="0000FF"/>
            <w:sz w:val="24"/>
            <w:szCs w:val="24"/>
          </w:rPr>
          <w:t>13</w:t>
        </w:r>
      </w:hyperlink>
      <w:r>
        <w:rPr>
          <w:rFonts w:ascii="Times New Roman" w:hAnsi="Times New Roman" w:cs="Times New Roman"/>
          <w:sz w:val="24"/>
          <w:szCs w:val="24"/>
        </w:rPr>
        <w:t xml:space="preserve"> Правил определения системообразующих территориальных сетевых организаций, утвержденных постановлением Правительства Российской Федерации от 28 августа 2024 г. N 1159 "Об утверждении критериев отнесения территориальных сетевых организаций к системообразующим территориальным сетевым организациям и Правил определения системообразующих территориальных сетевых организаций".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45"/>
      <w:bookmarkEnd w:id="6"/>
      <w:r>
        <w:rPr>
          <w:rFonts w:ascii="Times New Roman" w:hAnsi="Times New Roman" w:cs="Times New Roman"/>
          <w:sz w:val="24"/>
          <w:szCs w:val="24"/>
        </w:rPr>
        <w:t xml:space="preserve">6. Отсутствуют факты установления в соответствии с </w:t>
      </w:r>
      <w:hyperlink r:id="rId9"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 утвержденными постановлением Правительства Российской Федерации от 10 мая 2017 г. N 543 "О порядке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 уровня готовности системообразующей территориальной сетевой организации к работе в отопительный сезон "Не готов" на день ежегодного принятия Министерством энергетики Российской Федерации решения о готовности (оценка соответствия этому критерию производится не ранее чем по истечении 5 лет со дня начала осуществления деятельности в качестве системообразующей территориальной сетевой организации и далее - не чаще чем 1 раз в 5 лет). Критерий, предусмотренный настоящим пунктом, применяется в случаях, указанных в </w:t>
      </w:r>
      <w:hyperlink w:anchor="Par69" w:history="1">
        <w:r>
          <w:rPr>
            <w:rFonts w:ascii="Times New Roman" w:hAnsi="Times New Roman" w:cs="Times New Roman"/>
            <w:color w:val="0000FF"/>
            <w:sz w:val="24"/>
            <w:szCs w:val="24"/>
          </w:rPr>
          <w:t>пунктах 5</w:t>
        </w:r>
      </w:hyperlink>
      <w:r>
        <w:rPr>
          <w:rFonts w:ascii="Times New Roman" w:hAnsi="Times New Roman" w:cs="Times New Roman"/>
          <w:sz w:val="24"/>
          <w:szCs w:val="24"/>
        </w:rPr>
        <w:t xml:space="preserve"> и </w:t>
      </w:r>
      <w:hyperlink w:anchor="Par80" w:history="1">
        <w:r>
          <w:rPr>
            <w:rFonts w:ascii="Times New Roman" w:hAnsi="Times New Roman" w:cs="Times New Roman"/>
            <w:color w:val="0000FF"/>
            <w:sz w:val="24"/>
            <w:szCs w:val="24"/>
          </w:rPr>
          <w:t>9</w:t>
        </w:r>
      </w:hyperlink>
      <w:r>
        <w:rPr>
          <w:rFonts w:ascii="Times New Roman" w:hAnsi="Times New Roman" w:cs="Times New Roman"/>
          <w:sz w:val="24"/>
          <w:szCs w:val="24"/>
        </w:rPr>
        <w:t xml:space="preserve"> Правил определения системообразующих территориальных сетевых организаций, утвержденных постановлением Правительства Российской Федерации от 28 августа 2024 г. N 1159 "Об </w:t>
      </w:r>
      <w:r>
        <w:rPr>
          <w:rFonts w:ascii="Times New Roman" w:hAnsi="Times New Roman" w:cs="Times New Roman"/>
          <w:sz w:val="24"/>
          <w:szCs w:val="24"/>
        </w:rPr>
        <w:lastRenderedPageBreak/>
        <w:t>утверждении критериев отнесения территориальных сетевых организаций к системообразующим территориальным сетевым организациям и Правил определения системообразующих территориальных сетевых организаций".</w:t>
      </w:r>
    </w:p>
    <w:p w:rsidR="00A53F39" w:rsidRDefault="00A53F39" w:rsidP="00A53F39">
      <w:pPr>
        <w:autoSpaceDE w:val="0"/>
        <w:autoSpaceDN w:val="0"/>
        <w:adjustRightInd w:val="0"/>
        <w:spacing w:after="0" w:line="240" w:lineRule="auto"/>
        <w:jc w:val="right"/>
        <w:outlineLvl w:val="0"/>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Утверждены</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Правительства</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Российской Федерации</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28 августа 2024 г. N 1159</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bookmarkStart w:id="7" w:name="Par56"/>
      <w:bookmarkEnd w:id="7"/>
      <w:r>
        <w:rPr>
          <w:rFonts w:ascii="Times New Roman" w:hAnsi="Times New Roman" w:cs="Times New Roman"/>
          <w:b/>
          <w:bCs/>
          <w:sz w:val="24"/>
          <w:szCs w:val="24"/>
        </w:rPr>
        <w:t>ПРАВИЛА</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ОПРЕДЕЛЕНИЯ СИСТЕМООБРАЗУЮЩИХ ТЕРРИТОРИАЛЬНЫХ</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СЕТЕВЫХ ОРГАНИЗАЦИЙ</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Настоящие Правила устанавливают порядок определения системообразующей территориальной сетевой организации в субъектах Российской Федерации в соответствии с </w:t>
      </w:r>
      <w:hyperlink w:anchor="Par36" w:history="1">
        <w:r>
          <w:rPr>
            <w:rFonts w:ascii="Times New Roman" w:hAnsi="Times New Roman" w:cs="Times New Roman"/>
            <w:color w:val="0000FF"/>
            <w:sz w:val="24"/>
            <w:szCs w:val="24"/>
          </w:rPr>
          <w:t>критериями</w:t>
        </w:r>
      </w:hyperlink>
      <w:r>
        <w:rPr>
          <w:rFonts w:ascii="Times New Roman" w:hAnsi="Times New Roman" w:cs="Times New Roman"/>
          <w:sz w:val="24"/>
          <w:szCs w:val="24"/>
        </w:rPr>
        <w:t xml:space="preserve"> отнесения территориальных сетевых организаций к системообразующим территориальным сетевым организациям, утвержденными постановлением Правительства Российской Федерации от 28 августа 2024 г. N 1159 "Об утверждении критериев отнесения территориальных сетевых организаций к системообразующим территориальным сетевым организациям и Правил определения системообразующих территориальных сетевых организаций" (далее - критерии).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Определение системообразующей территориальной сетевой организации осуществляется сроком на 5 лет на основании оценки соответствия критериям, которая производится исполнительным органом субъекта Российской Федерации, уполномоченным в области государственного регулирования цен (тарифов) в сфере электроэнергетики (далее - уполномоченный орган).</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 территории субъекта Российской Федерации - города федерального значения Москвы в соответствии с Федеральным </w:t>
      </w:r>
      <w:hyperlink r:id="rId1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"Об электроэнергетике" и с учетом особенностей, установленных </w:t>
      </w:r>
      <w:hyperlink r:id="rId1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Российской Федерации "О статусе столицы Российской Федерации", сроком на 5 лет определяются 2 системообразующие территориальные сетевые организации. При определении 2 системообразующих территориальных сетевых организаций устанавливаются границы зон деятельности каждой из таких системообразующих территориальных сетевых организаций.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63"/>
      <w:bookmarkEnd w:id="8"/>
      <w:r>
        <w:rPr>
          <w:rFonts w:ascii="Times New Roman" w:hAnsi="Times New Roman" w:cs="Times New Roman"/>
          <w:sz w:val="24"/>
          <w:szCs w:val="24"/>
        </w:rPr>
        <w:t xml:space="preserve">3. Уполномоченный орган не чаще 1 раза в 5 лет, за исключением случаев, предусмотренных </w:t>
      </w:r>
      <w:hyperlink w:anchor="Par91" w:history="1">
        <w:r>
          <w:rPr>
            <w:rFonts w:ascii="Times New Roman" w:hAnsi="Times New Roman" w:cs="Times New Roman"/>
            <w:color w:val="0000FF"/>
            <w:sz w:val="24"/>
            <w:szCs w:val="24"/>
          </w:rPr>
          <w:t>абзацем вторым пункта 13</w:t>
        </w:r>
      </w:hyperlink>
      <w:r>
        <w:rPr>
          <w:rFonts w:ascii="Times New Roman" w:hAnsi="Times New Roman" w:cs="Times New Roman"/>
          <w:sz w:val="24"/>
          <w:szCs w:val="24"/>
        </w:rPr>
        <w:t xml:space="preserve"> настоящих Правил, проводит оценку соответствия территориальных сетевых организаций критериям на основании предложений об установлении на очередной период регулирования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(а также на основании прилагаемых к таким предложениям документов), которые подаются в порядке, установленном </w:t>
      </w:r>
      <w:hyperlink r:id="rId12" w:history="1">
        <w:r>
          <w:rPr>
            <w:rFonts w:ascii="Times New Roman" w:hAnsi="Times New Roman" w:cs="Times New Roman"/>
            <w:color w:val="0000FF"/>
            <w:sz w:val="24"/>
            <w:szCs w:val="24"/>
          </w:rPr>
          <w:t>пунктом 17</w:t>
        </w:r>
      </w:hyperlink>
      <w:r>
        <w:rPr>
          <w:rFonts w:ascii="Times New Roman" w:hAnsi="Times New Roman" w:cs="Times New Roman"/>
          <w:sz w:val="24"/>
          <w:szCs w:val="24"/>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Оценка соответствия требованиям </w:t>
      </w:r>
      <w:hyperlink w:anchor="Par41" w:history="1">
        <w:r>
          <w:rPr>
            <w:rFonts w:ascii="Times New Roman" w:hAnsi="Times New Roman" w:cs="Times New Roman"/>
            <w:color w:val="0000FF"/>
            <w:sz w:val="24"/>
            <w:szCs w:val="24"/>
          </w:rPr>
          <w:t>пункта 2</w:t>
        </w:r>
      </w:hyperlink>
      <w:r>
        <w:rPr>
          <w:rFonts w:ascii="Times New Roman" w:hAnsi="Times New Roman" w:cs="Times New Roman"/>
          <w:sz w:val="24"/>
          <w:szCs w:val="24"/>
        </w:rPr>
        <w:t xml:space="preserve"> критериев осуществляется на основании документов, представляемых территориальной сетевой организацией в уполномоченный орган для установления регулируемых цен (тарифов) на следующий период регулирования в соответствии с </w:t>
      </w:r>
      <w:hyperlink r:id="rId13" w:history="1">
        <w:r>
          <w:rPr>
            <w:rFonts w:ascii="Times New Roman" w:hAnsi="Times New Roman" w:cs="Times New Roman"/>
            <w:color w:val="0000FF"/>
            <w:sz w:val="24"/>
            <w:szCs w:val="24"/>
          </w:rPr>
          <w:t>подпунктом 13 пункта 17</w:t>
        </w:r>
      </w:hyperlink>
      <w:r>
        <w:rPr>
          <w:rFonts w:ascii="Times New Roman" w:hAnsi="Times New Roman" w:cs="Times New Roman"/>
          <w:sz w:val="24"/>
          <w:szCs w:val="24"/>
        </w:rPr>
        <w:t xml:space="preserve"> Правил государственного регулирования (пересмотра, применения) цен (тарифов) в электроэнергетике, утвержденных </w:t>
      </w:r>
      <w:r>
        <w:rPr>
          <w:rFonts w:ascii="Times New Roman" w:hAnsi="Times New Roman" w:cs="Times New Roman"/>
          <w:sz w:val="24"/>
          <w:szCs w:val="24"/>
        </w:rPr>
        <w:lastRenderedPageBreak/>
        <w:t>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Оценка соответствия требованиям </w:t>
      </w:r>
      <w:hyperlink w:anchor="Par42" w:history="1">
        <w:r>
          <w:rPr>
            <w:rFonts w:ascii="Times New Roman" w:hAnsi="Times New Roman" w:cs="Times New Roman"/>
            <w:color w:val="0000FF"/>
            <w:sz w:val="24"/>
            <w:szCs w:val="24"/>
          </w:rPr>
          <w:t>пунктов 3</w:t>
        </w:r>
      </w:hyperlink>
      <w:r>
        <w:rPr>
          <w:rFonts w:ascii="Times New Roman" w:hAnsi="Times New Roman" w:cs="Times New Roman"/>
          <w:sz w:val="24"/>
          <w:szCs w:val="24"/>
        </w:rPr>
        <w:t xml:space="preserve"> и </w:t>
      </w:r>
      <w:hyperlink w:anchor="Par43"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критериев осуществляется уполномоченным органом на основании данных, содержащихся в едином государственном реестре юридических лиц, Едином федеральном реестре сведений о банкротстве и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начиная со 2-го года после определения решением высшего должностного лица субъекта Российской Федерации системообразующей территориальной сетевой организации ежегодно проводит оценку на соответствие требованиям </w:t>
      </w:r>
      <w:hyperlink w:anchor="Par40" w:history="1">
        <w:r>
          <w:rPr>
            <w:rFonts w:ascii="Times New Roman" w:hAnsi="Times New Roman" w:cs="Times New Roman"/>
            <w:color w:val="0000FF"/>
            <w:sz w:val="24"/>
            <w:szCs w:val="24"/>
          </w:rPr>
          <w:t>пунктов 1</w:t>
        </w:r>
      </w:hyperlink>
      <w:r>
        <w:rPr>
          <w:rFonts w:ascii="Times New Roman" w:hAnsi="Times New Roman" w:cs="Times New Roman"/>
          <w:sz w:val="24"/>
          <w:szCs w:val="24"/>
        </w:rPr>
        <w:t xml:space="preserve"> и </w:t>
      </w:r>
      <w:hyperlink w:anchor="Par44"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критериев.</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Оценка соответствия требованиям </w:t>
      </w:r>
      <w:hyperlink w:anchor="Par44" w:history="1">
        <w:r>
          <w:rPr>
            <w:rFonts w:ascii="Times New Roman" w:hAnsi="Times New Roman" w:cs="Times New Roman"/>
            <w:color w:val="0000FF"/>
            <w:sz w:val="24"/>
            <w:szCs w:val="24"/>
          </w:rPr>
          <w:t>пункта 5</w:t>
        </w:r>
      </w:hyperlink>
      <w:r>
        <w:rPr>
          <w:rFonts w:ascii="Times New Roman" w:hAnsi="Times New Roman" w:cs="Times New Roman"/>
          <w:sz w:val="24"/>
          <w:szCs w:val="24"/>
        </w:rPr>
        <w:t xml:space="preserve"> критериев проводится исходя из показателей, рассчитанных в соответствии с методикой согласно </w:t>
      </w:r>
      <w:hyperlink w:anchor="Par103" w:history="1">
        <w:r>
          <w:rPr>
            <w:rFonts w:ascii="Times New Roman" w:hAnsi="Times New Roman" w:cs="Times New Roman"/>
            <w:color w:val="0000FF"/>
            <w:sz w:val="24"/>
            <w:szCs w:val="24"/>
          </w:rPr>
          <w:t>приложению</w:t>
        </w:r>
      </w:hyperlink>
      <w:r>
        <w:rPr>
          <w:rFonts w:ascii="Times New Roman" w:hAnsi="Times New Roman" w:cs="Times New Roman"/>
          <w:sz w:val="24"/>
          <w:szCs w:val="24"/>
        </w:rPr>
        <w:t>.</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случае если в ходе анализа представленных территориальными сетевыми организациями указанных в </w:t>
      </w:r>
      <w:hyperlink w:anchor="Par63" w:history="1">
        <w:r>
          <w:rPr>
            <w:rFonts w:ascii="Times New Roman" w:hAnsi="Times New Roman" w:cs="Times New Roman"/>
            <w:color w:val="0000FF"/>
            <w:sz w:val="24"/>
            <w:szCs w:val="24"/>
          </w:rPr>
          <w:t>пункте 3</w:t>
        </w:r>
      </w:hyperlink>
      <w:r>
        <w:rPr>
          <w:rFonts w:ascii="Times New Roman" w:hAnsi="Times New Roman" w:cs="Times New Roman"/>
          <w:sz w:val="24"/>
          <w:szCs w:val="24"/>
        </w:rPr>
        <w:t xml:space="preserve"> настоящих Правил материалов возникнет необходимость их уточнения либо обоснований для оценки соответствия критериям, уполномоченный орган запрашивает дополнительные материалы, указав форму их представления и требования к ним, а территориальные сетевые организации, осуществляющие регулируемую деятельность, представляют их в течение 7 рабочих дней со дня поступления запроса.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69"/>
      <w:bookmarkEnd w:id="9"/>
      <w:r>
        <w:rPr>
          <w:rFonts w:ascii="Times New Roman" w:hAnsi="Times New Roman" w:cs="Times New Roman"/>
          <w:sz w:val="24"/>
          <w:szCs w:val="24"/>
        </w:rPr>
        <w:t xml:space="preserve">5. Для определения системообразующей территориальной сетевой организации отбираются 3 территориальные сетевые организации, соответствующие требованиям </w:t>
      </w:r>
      <w:hyperlink w:anchor="Par40" w:history="1">
        <w:r>
          <w:rPr>
            <w:rFonts w:ascii="Times New Roman" w:hAnsi="Times New Roman" w:cs="Times New Roman"/>
            <w:color w:val="0000FF"/>
            <w:sz w:val="24"/>
            <w:szCs w:val="24"/>
          </w:rPr>
          <w:t>пунктов 1</w:t>
        </w:r>
      </w:hyperlink>
      <w:r>
        <w:rPr>
          <w:rFonts w:ascii="Times New Roman" w:hAnsi="Times New Roman" w:cs="Times New Roman"/>
          <w:sz w:val="24"/>
          <w:szCs w:val="24"/>
        </w:rPr>
        <w:t xml:space="preserve">, </w:t>
      </w:r>
      <w:hyperlink w:anchor="Par42"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и </w:t>
      </w:r>
      <w:hyperlink w:anchor="Par43"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критериев и являющиеся крупнейшими по сумме протяженности по трассе линий электропередачи, установленной </w:t>
      </w:r>
      <w:hyperlink w:anchor="Par41" w:history="1">
        <w:r>
          <w:rPr>
            <w:rFonts w:ascii="Times New Roman" w:hAnsi="Times New Roman" w:cs="Times New Roman"/>
            <w:color w:val="0000FF"/>
            <w:sz w:val="24"/>
            <w:szCs w:val="24"/>
          </w:rPr>
          <w:t>пунктом 2</w:t>
        </w:r>
      </w:hyperlink>
      <w:r>
        <w:rPr>
          <w:rFonts w:ascii="Times New Roman" w:hAnsi="Times New Roman" w:cs="Times New Roman"/>
          <w:sz w:val="24"/>
          <w:szCs w:val="24"/>
        </w:rPr>
        <w:t xml:space="preserve"> критериев. Из этих территориальных сетевых организаций в порядке убывания суммы протяженности по трассе линий электропередачи, установленной </w:t>
      </w:r>
      <w:hyperlink w:anchor="Par41" w:history="1">
        <w:r>
          <w:rPr>
            <w:rFonts w:ascii="Times New Roman" w:hAnsi="Times New Roman" w:cs="Times New Roman"/>
            <w:color w:val="0000FF"/>
            <w:sz w:val="24"/>
            <w:szCs w:val="24"/>
          </w:rPr>
          <w:t>пунктом 2</w:t>
        </w:r>
      </w:hyperlink>
      <w:r>
        <w:rPr>
          <w:rFonts w:ascii="Times New Roman" w:hAnsi="Times New Roman" w:cs="Times New Roman"/>
          <w:sz w:val="24"/>
          <w:szCs w:val="24"/>
        </w:rPr>
        <w:t xml:space="preserve"> критериев, сначала оценивается крупнейшая организация на соответствие требованиям </w:t>
      </w:r>
      <w:hyperlink w:anchor="Par44" w:history="1">
        <w:r>
          <w:rPr>
            <w:rFonts w:ascii="Times New Roman" w:hAnsi="Times New Roman" w:cs="Times New Roman"/>
            <w:color w:val="0000FF"/>
            <w:sz w:val="24"/>
            <w:szCs w:val="24"/>
          </w:rPr>
          <w:t>пунктов 5</w:t>
        </w:r>
      </w:hyperlink>
      <w:r>
        <w:rPr>
          <w:rFonts w:ascii="Times New Roman" w:hAnsi="Times New Roman" w:cs="Times New Roman"/>
          <w:sz w:val="24"/>
          <w:szCs w:val="24"/>
        </w:rPr>
        <w:t xml:space="preserve"> и </w:t>
      </w:r>
      <w:hyperlink w:anchor="Par45"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критериев. В случае такого соответствия она определяется системообразующей территориальной сетевой организацией. В случае несоответствия оценивается следующая в порядке убывания суммы протяженности по трассе линий электропередачи, установленной </w:t>
      </w:r>
      <w:hyperlink w:anchor="Par41" w:history="1">
        <w:r>
          <w:rPr>
            <w:rFonts w:ascii="Times New Roman" w:hAnsi="Times New Roman" w:cs="Times New Roman"/>
            <w:color w:val="0000FF"/>
            <w:sz w:val="24"/>
            <w:szCs w:val="24"/>
          </w:rPr>
          <w:t>пунктом 2</w:t>
        </w:r>
      </w:hyperlink>
      <w:r>
        <w:rPr>
          <w:rFonts w:ascii="Times New Roman" w:hAnsi="Times New Roman" w:cs="Times New Roman"/>
          <w:sz w:val="24"/>
          <w:szCs w:val="24"/>
        </w:rPr>
        <w:t xml:space="preserve"> критериев, территориальная сетевая организация, которая в случае ее соответствия требованиям </w:t>
      </w:r>
      <w:hyperlink w:anchor="Par44" w:history="1">
        <w:r>
          <w:rPr>
            <w:rFonts w:ascii="Times New Roman" w:hAnsi="Times New Roman" w:cs="Times New Roman"/>
            <w:color w:val="0000FF"/>
            <w:sz w:val="24"/>
            <w:szCs w:val="24"/>
          </w:rPr>
          <w:t>пунктов 5</w:t>
        </w:r>
      </w:hyperlink>
      <w:r>
        <w:rPr>
          <w:rFonts w:ascii="Times New Roman" w:hAnsi="Times New Roman" w:cs="Times New Roman"/>
          <w:sz w:val="24"/>
          <w:szCs w:val="24"/>
        </w:rPr>
        <w:t xml:space="preserve"> и </w:t>
      </w:r>
      <w:hyperlink w:anchor="Par45"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критериев определяется в качестве системообразующей территориальной сетевой организации.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в субъекте Российской Федерации функционируют менее 3 территориальных сетевых организаций, то системообразующей территориальной сетевой организацией определяется та организация, которая соответствует требованиям </w:t>
      </w:r>
      <w:hyperlink w:anchor="Par40" w:history="1">
        <w:r>
          <w:rPr>
            <w:rFonts w:ascii="Times New Roman" w:hAnsi="Times New Roman" w:cs="Times New Roman"/>
            <w:color w:val="0000FF"/>
            <w:sz w:val="24"/>
            <w:szCs w:val="24"/>
          </w:rPr>
          <w:t>пунктов 1</w:t>
        </w:r>
      </w:hyperlink>
      <w:r>
        <w:rPr>
          <w:rFonts w:ascii="Times New Roman" w:hAnsi="Times New Roman" w:cs="Times New Roman"/>
          <w:sz w:val="24"/>
          <w:szCs w:val="24"/>
        </w:rPr>
        <w:t xml:space="preserve"> - </w:t>
      </w:r>
      <w:hyperlink w:anchor="Par43"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критериев и </w:t>
      </w:r>
      <w:hyperlink w:anchor="Par44" w:history="1">
        <w:r>
          <w:rPr>
            <w:rFonts w:ascii="Times New Roman" w:hAnsi="Times New Roman" w:cs="Times New Roman"/>
            <w:color w:val="0000FF"/>
            <w:sz w:val="24"/>
            <w:szCs w:val="24"/>
          </w:rPr>
          <w:t>пунктов 5</w:t>
        </w:r>
      </w:hyperlink>
      <w:r>
        <w:rPr>
          <w:rFonts w:ascii="Times New Roman" w:hAnsi="Times New Roman" w:cs="Times New Roman"/>
          <w:sz w:val="24"/>
          <w:szCs w:val="24"/>
        </w:rPr>
        <w:t xml:space="preserve"> и (или) </w:t>
      </w:r>
      <w:hyperlink w:anchor="Par45"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критериев.</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0" w:name="Par71"/>
      <w:bookmarkEnd w:id="10"/>
      <w:r>
        <w:rPr>
          <w:rFonts w:ascii="Times New Roman" w:hAnsi="Times New Roman" w:cs="Times New Roman"/>
          <w:sz w:val="24"/>
          <w:szCs w:val="24"/>
        </w:rPr>
        <w:t>6. По результатам оценки соответствия критериям уполномоченный орган не позднее 1 июля года, в котором проводится оценка соответствия критериям:</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1" w:name="Par72"/>
      <w:bookmarkEnd w:id="11"/>
      <w:r>
        <w:rPr>
          <w:rFonts w:ascii="Times New Roman" w:hAnsi="Times New Roman" w:cs="Times New Roman"/>
          <w:sz w:val="24"/>
          <w:szCs w:val="24"/>
        </w:rPr>
        <w:t>а) размещает на своем официальном сайте в информационно-телекоммуникационной сети "Интернет" следующую информацию о соответствии территориальной сетевой организации всем критериям:</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сведения, позволяющие идентифицировать территориальную сетевую организацию, соответствующую критериям (полное наименование и основной государственный регистрационный номер);</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сведения, на основании которых был сделан вывод о соответствии территориальной сетевой организации каждому из критериев, - суммарные количественные характеристики и (или) параметры объектов электросетевого хозяйства, которыми территориальные сетевые организации владеют на праве собственности и (или) на ином законном основании, технические характеристики таких объектов, суммарные количественные и (или) качественные показатели деятельности территориальных сетевых организаций;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уведомляет территориальную сетевую организацию о ее соответствии критериям способом, позволяющим подтвердить получение уведомления.</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Уполномоченный орган не позднее 5 рабочих дней со дня размещения на своем официальном сайте в информационно-телекоммуникационной сети "Интернет" информации, указанной в </w:t>
      </w:r>
      <w:hyperlink w:anchor="Par72" w:history="1">
        <w:r>
          <w:rPr>
            <w:rFonts w:ascii="Times New Roman" w:hAnsi="Times New Roman" w:cs="Times New Roman"/>
            <w:color w:val="0000FF"/>
            <w:sz w:val="24"/>
            <w:szCs w:val="24"/>
          </w:rPr>
          <w:t>подпункте "а" пункта 6</w:t>
        </w:r>
      </w:hyperlink>
      <w:r>
        <w:rPr>
          <w:rFonts w:ascii="Times New Roman" w:hAnsi="Times New Roman" w:cs="Times New Roman"/>
          <w:sz w:val="24"/>
          <w:szCs w:val="24"/>
        </w:rPr>
        <w:t xml:space="preserve"> настоящих Правил, направляет такую информацию высшему должностному лицу субъекта Российской Федерации для принятия решения об определении системообразующей территориальной сетевой организации.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на территории субъекта Российской Федерации - города федерального значения Москвы не позднее 5 рабочих дней со дня размещения на своем официальном сайте в информационно-телекоммуникационной сети "Интернет" информации, указанной в </w:t>
      </w:r>
      <w:hyperlink w:anchor="Par72" w:history="1">
        <w:r>
          <w:rPr>
            <w:rFonts w:ascii="Times New Roman" w:hAnsi="Times New Roman" w:cs="Times New Roman"/>
            <w:color w:val="0000FF"/>
            <w:sz w:val="24"/>
            <w:szCs w:val="24"/>
          </w:rPr>
          <w:t>подпункте "а" пункта 6</w:t>
        </w:r>
      </w:hyperlink>
      <w:r>
        <w:rPr>
          <w:rFonts w:ascii="Times New Roman" w:hAnsi="Times New Roman" w:cs="Times New Roman"/>
          <w:sz w:val="24"/>
          <w:szCs w:val="24"/>
        </w:rPr>
        <w:t xml:space="preserve"> настоящих Правил, направляет такую информацию, а также информацию, необходимую для установления границ зон деятельности 2 системообразующих территориальных сетевых организаций, высшему должностному лицу субъекта Российской Федерации - города федерального значения Москвы для принятия решения об определении 2 системообразующих территориальных сетевых организаций и установлении границ зон деятельности каждой из них.</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2" w:name="Par78"/>
      <w:bookmarkEnd w:id="12"/>
      <w:r>
        <w:rPr>
          <w:rFonts w:ascii="Times New Roman" w:hAnsi="Times New Roman" w:cs="Times New Roman"/>
          <w:sz w:val="24"/>
          <w:szCs w:val="24"/>
        </w:rPr>
        <w:t>8. Высшее должностное лицо субъекта Российской Федерации не позднее 1 августа года, в котором проведена оценка соответствия территориальных сетевых организаций критериям, принимает решение об определении системообразующей территориальной сетевой организации сроком на 5 лет, которое должно содержать сведения, позволяющие ее идентифицировать (полное наименование и основной государственный регистрационный номер).</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Высшее должностное лицо субъекта Российской Федерации - города федерального значения Москвы не позднее 1 августа года, в котором проведена оценка соответствия территориальных сетевых организаций критериям, принимает решение об определении 2 системообразующих территориальных сетевых организаций и установлении границ зон их деятельности, которое должно содержать сведения, позволяющие идентифицировать такие организации (полное наименование и основной государственный регистрационный номер), и сведения о границах таких зон деятельности каждой из системообразующих территориальных сетевых организаций.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80"/>
      <w:bookmarkEnd w:id="13"/>
      <w:r>
        <w:rPr>
          <w:rFonts w:ascii="Times New Roman" w:hAnsi="Times New Roman" w:cs="Times New Roman"/>
          <w:sz w:val="24"/>
          <w:szCs w:val="24"/>
        </w:rPr>
        <w:t xml:space="preserve">9. В качестве системообразующей территориальной сетевой организации определяется территориальная сетевая организация, соответствие которой всем применяемым критериям установлено в результате проведенной уполномоченным органом оценки. Если ни одна из территориальных сетевых организаций не соответствует </w:t>
      </w:r>
      <w:hyperlink w:anchor="Par44" w:history="1">
        <w:r>
          <w:rPr>
            <w:rFonts w:ascii="Times New Roman" w:hAnsi="Times New Roman" w:cs="Times New Roman"/>
            <w:color w:val="0000FF"/>
            <w:sz w:val="24"/>
            <w:szCs w:val="24"/>
          </w:rPr>
          <w:t>пунктам 5</w:t>
        </w:r>
      </w:hyperlink>
      <w:r>
        <w:rPr>
          <w:rFonts w:ascii="Times New Roman" w:hAnsi="Times New Roman" w:cs="Times New Roman"/>
          <w:sz w:val="24"/>
          <w:szCs w:val="24"/>
        </w:rPr>
        <w:t xml:space="preserve"> и </w:t>
      </w:r>
      <w:hyperlink w:anchor="Par45"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критериев, в качестве системообразующей территориальной сетевой организации определяется территориальная сетевая организация, обладающая максимальной протяженностью по трассе линий электропередачи, установленной </w:t>
      </w:r>
      <w:hyperlink w:anchor="Par41" w:history="1">
        <w:r>
          <w:rPr>
            <w:rFonts w:ascii="Times New Roman" w:hAnsi="Times New Roman" w:cs="Times New Roman"/>
            <w:color w:val="0000FF"/>
            <w:sz w:val="24"/>
            <w:szCs w:val="24"/>
          </w:rPr>
          <w:t>пунктом 2</w:t>
        </w:r>
      </w:hyperlink>
      <w:r>
        <w:rPr>
          <w:rFonts w:ascii="Times New Roman" w:hAnsi="Times New Roman" w:cs="Times New Roman"/>
          <w:sz w:val="24"/>
          <w:szCs w:val="24"/>
        </w:rPr>
        <w:t xml:space="preserve"> критериев.</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На территории субъекта Российской Федерации - города федерального значения Москвы в качестве системообразующих территориальных сетевых организаций определяются 2 территориальные сетевые организации, соответствие которых всем применяемым критериям установлено в результате проведенной уполномоченным органом оценки.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Решение об определении системообразующей территориальной сетевой организации (на территории субъекта Российской Федерации - города федерального значения Москвы - решение об определении 2 системообразующих территориальных сетевых организаций и установлении границ зон их деятельности) подлежит опубликованию и размещению на официальном сайте высшего должностного лица субъекта Российской Федерации в информационно-телекоммуникационной сети "Интернет" в порядке, аналогичном порядку, установленному законодательством соответствующего субъекта Российской Федерации для нормативных правовых актов высшего должностного лица.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Если в соответствии с решением высшего должностного лица субъекта Российской Федерации системообразующая территориальная сетевая организация определена впервые или определена системообразующая территориальная сетевая организация, отличная от действующей в субъекте Российской Федерации на день принятия указанного решения, такая организация осуществляет свою деятельность в соответствующем правовом статусе с 1 января года, следующего за годом, в котором было принято указанное решение.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в соответствии с решением высшего должностного лица субъекта Российской Федерации системообразующая территориальная сетевая организация определена в соответствии с </w:t>
      </w:r>
      <w:hyperlink w:anchor="Par90" w:history="1">
        <w:r>
          <w:rPr>
            <w:rFonts w:ascii="Times New Roman" w:hAnsi="Times New Roman" w:cs="Times New Roman"/>
            <w:color w:val="0000FF"/>
            <w:sz w:val="24"/>
            <w:szCs w:val="24"/>
          </w:rPr>
          <w:t>пунктом 13</w:t>
        </w:r>
      </w:hyperlink>
      <w:r>
        <w:rPr>
          <w:rFonts w:ascii="Times New Roman" w:hAnsi="Times New Roman" w:cs="Times New Roman"/>
          <w:sz w:val="24"/>
          <w:szCs w:val="24"/>
        </w:rPr>
        <w:t xml:space="preserve"> настоящих Правил, то такая системообразующая территориальная сетевая организация осуществляет свою деятельность в соответствующем правовом статусе: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 1-го числа календарного месяца, следующего за календарным месяцем, в котором не позднее 25-го числа было принято указанное решение;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 1-го числа 2-го календарного месяца, следующего за календарным месяцем, в котором после 25-го числа было принято указанное решение.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87"/>
      <w:bookmarkEnd w:id="14"/>
      <w:r>
        <w:rPr>
          <w:rFonts w:ascii="Times New Roman" w:hAnsi="Times New Roman" w:cs="Times New Roman"/>
          <w:sz w:val="24"/>
          <w:szCs w:val="24"/>
        </w:rPr>
        <w:t>12. Определенная в соответствии с настоящими Правилами системообразующая территориальная сетевая организация обязана уведомить уполномоченный орган способом, позволяющим подтвердить получение уведомления, о возникновении следующих фактов в течение 5 рабочих дней после их возникновения:</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единый государственный реестр юридических лиц внесена запись о том, что эта организация находится в процессе ликвидации;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судом решения о признании этой организации банкротом и о введении в отношении нее конкурсного производства.</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5" w:name="Par90"/>
      <w:bookmarkEnd w:id="15"/>
      <w:r>
        <w:rPr>
          <w:rFonts w:ascii="Times New Roman" w:hAnsi="Times New Roman" w:cs="Times New Roman"/>
          <w:sz w:val="24"/>
          <w:szCs w:val="24"/>
        </w:rPr>
        <w:t>13. Высшее должностное лицо субъекта Российской Федерации определяет иную системообразующую территориальную сетевую организацию в соответствии с настоящими Правилами: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6" w:name="Par91"/>
      <w:bookmarkEnd w:id="16"/>
      <w:r>
        <w:rPr>
          <w:rFonts w:ascii="Times New Roman" w:hAnsi="Times New Roman" w:cs="Times New Roman"/>
          <w:sz w:val="24"/>
          <w:szCs w:val="24"/>
        </w:rPr>
        <w:t xml:space="preserve">при возникновении одного из фактов, указанных в </w:t>
      </w:r>
      <w:hyperlink w:anchor="Par87" w:history="1">
        <w:r>
          <w:rPr>
            <w:rFonts w:ascii="Times New Roman" w:hAnsi="Times New Roman" w:cs="Times New Roman"/>
            <w:color w:val="0000FF"/>
            <w:sz w:val="24"/>
            <w:szCs w:val="24"/>
          </w:rPr>
          <w:t>пункте 12</w:t>
        </w:r>
      </w:hyperlink>
      <w:r>
        <w:rPr>
          <w:rFonts w:ascii="Times New Roman" w:hAnsi="Times New Roman" w:cs="Times New Roman"/>
          <w:sz w:val="24"/>
          <w:szCs w:val="24"/>
        </w:rPr>
        <w:t xml:space="preserve"> настоящих Правил, без соблюдения требований </w:t>
      </w:r>
      <w:hyperlink w:anchor="Par63" w:history="1">
        <w:r>
          <w:rPr>
            <w:rFonts w:ascii="Times New Roman" w:hAnsi="Times New Roman" w:cs="Times New Roman"/>
            <w:color w:val="0000FF"/>
            <w:sz w:val="24"/>
            <w:szCs w:val="24"/>
          </w:rPr>
          <w:t>пункта 3</w:t>
        </w:r>
      </w:hyperlink>
      <w:r>
        <w:rPr>
          <w:rFonts w:ascii="Times New Roman" w:hAnsi="Times New Roman" w:cs="Times New Roman"/>
          <w:sz w:val="24"/>
          <w:szCs w:val="24"/>
        </w:rPr>
        <w:t xml:space="preserve"> настоящих Правил к периодичности проведения оценки соответствия критериям. Если уполномоченный орган получил информацию, в том числе </w:t>
      </w:r>
      <w:r>
        <w:rPr>
          <w:rFonts w:ascii="Times New Roman" w:hAnsi="Times New Roman" w:cs="Times New Roman"/>
          <w:sz w:val="24"/>
          <w:szCs w:val="24"/>
        </w:rPr>
        <w:lastRenderedPageBreak/>
        <w:t xml:space="preserve">самостоятельно, об указанных фактах после 15 июня текущего года, соблюдение установленных </w:t>
      </w:r>
      <w:hyperlink w:anchor="Par78" w:history="1">
        <w:r>
          <w:rPr>
            <w:rFonts w:ascii="Times New Roman" w:hAnsi="Times New Roman" w:cs="Times New Roman"/>
            <w:color w:val="0000FF"/>
            <w:sz w:val="24"/>
            <w:szCs w:val="24"/>
          </w:rPr>
          <w:t>пунктами 6</w:t>
        </w:r>
      </w:hyperlink>
      <w:r>
        <w:rPr>
          <w:rFonts w:ascii="Times New Roman" w:hAnsi="Times New Roman" w:cs="Times New Roman"/>
          <w:sz w:val="24"/>
          <w:szCs w:val="24"/>
        </w:rPr>
        <w:t xml:space="preserve"> - </w:t>
      </w:r>
      <w:hyperlink w:anchor="Par78"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настоящих Правил сроков необязательно;</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сроки, установленные </w:t>
      </w:r>
      <w:hyperlink w:anchor="Par71" w:history="1">
        <w:r>
          <w:rPr>
            <w:rFonts w:ascii="Times New Roman" w:hAnsi="Times New Roman" w:cs="Times New Roman"/>
            <w:color w:val="0000FF"/>
            <w:sz w:val="24"/>
            <w:szCs w:val="24"/>
          </w:rPr>
          <w:t>пунктами 6</w:t>
        </w:r>
      </w:hyperlink>
      <w:r>
        <w:rPr>
          <w:rFonts w:ascii="Times New Roman" w:hAnsi="Times New Roman" w:cs="Times New Roman"/>
          <w:sz w:val="24"/>
          <w:szCs w:val="24"/>
        </w:rPr>
        <w:t xml:space="preserve"> - </w:t>
      </w:r>
      <w:hyperlink w:anchor="Par71"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настоящих Правил, по результатам ежегодной оценки соответствия территориальной сетевой организации требованиям </w:t>
      </w:r>
      <w:hyperlink w:anchor="Par40" w:history="1">
        <w:r>
          <w:rPr>
            <w:rFonts w:ascii="Times New Roman" w:hAnsi="Times New Roman" w:cs="Times New Roman"/>
            <w:color w:val="0000FF"/>
            <w:sz w:val="24"/>
            <w:szCs w:val="24"/>
          </w:rPr>
          <w:t>пунктов 1</w:t>
        </w:r>
      </w:hyperlink>
      <w:r>
        <w:rPr>
          <w:rFonts w:ascii="Times New Roman" w:hAnsi="Times New Roman" w:cs="Times New Roman"/>
          <w:sz w:val="24"/>
          <w:szCs w:val="24"/>
        </w:rPr>
        <w:t xml:space="preserve"> и </w:t>
      </w:r>
      <w:hyperlink w:anchor="Par44"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критериев в соответствии с требованиями </w:t>
      </w:r>
      <w:hyperlink w:anchor="Par63" w:history="1">
        <w:r>
          <w:rPr>
            <w:rFonts w:ascii="Times New Roman" w:hAnsi="Times New Roman" w:cs="Times New Roman"/>
            <w:color w:val="0000FF"/>
            <w:sz w:val="24"/>
            <w:szCs w:val="24"/>
          </w:rPr>
          <w:t>пункта 3</w:t>
        </w:r>
      </w:hyperlink>
      <w:r>
        <w:rPr>
          <w:rFonts w:ascii="Times New Roman" w:hAnsi="Times New Roman" w:cs="Times New Roman"/>
          <w:sz w:val="24"/>
          <w:szCs w:val="24"/>
        </w:rPr>
        <w:t xml:space="preserve"> настоящих Правил к периодичности оценки соответствия критериям.</w:t>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bookmarkStart w:id="17" w:name="_GoBack"/>
      <w:bookmarkEnd w:id="17"/>
    </w:p>
    <w:p w:rsidR="00A53F39" w:rsidRDefault="00A53F39" w:rsidP="00A53F39">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Правилам определения</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системообразующих территориальных</w:t>
      </w:r>
    </w:p>
    <w:p w:rsidR="00A53F39" w:rsidRDefault="00A53F39" w:rsidP="00A53F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сетевых организаций</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bookmarkStart w:id="18" w:name="Par103"/>
      <w:bookmarkEnd w:id="18"/>
      <w:r>
        <w:rPr>
          <w:rFonts w:ascii="Times New Roman" w:hAnsi="Times New Roman" w:cs="Times New Roman"/>
          <w:b/>
          <w:bCs/>
          <w:sz w:val="24"/>
          <w:szCs w:val="24"/>
        </w:rPr>
        <w:t>МЕТОДИКА</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ПОКАЗАТЕЛЕЙ ОБОРОТА ПРОСРОЧЕННОЙ КРЕДИТОРСКОЙ</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ДЕБИТОРСКОЙ ЗАДОЛЖЕННОСТИ СИСТЕМООБРАЗУЮЩЕЙ</w:t>
      </w:r>
    </w:p>
    <w:p w:rsidR="00A53F39" w:rsidRDefault="00A53F39" w:rsidP="00A53F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ТЕРРИТОРИАЛЬНОЙ СЕТЕВОЙ ОРГАНИЗАЦИИ</w:t>
      </w: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Расчет показателей оборота просроченной кредиторской и дебиторской задолженности системообразующей территориальной сетевой организации производится в соответствии с настоящей методикой на основании данных бухгалтерской отчетности указанной организации.</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Показатель периода оборота просроченной кредиторской задолженности системообразующей территориальной сетевой организации за услуги по передаче электрической энергии, оказанные территориальными сетевыми организациями в административных границах субъекта Российской Федерации (</w:t>
      </w:r>
      <w:r>
        <w:rPr>
          <w:rFonts w:ascii="Times New Roman" w:hAnsi="Times New Roman" w:cs="Times New Roman"/>
          <w:noProof/>
          <w:position w:val="-10"/>
          <w:sz w:val="24"/>
          <w:szCs w:val="24"/>
          <w:lang w:eastAsia="ru-RU"/>
        </w:rPr>
        <w:drawing>
          <wp:inline distT="0" distB="0" distL="0" distR="0">
            <wp:extent cx="381000" cy="285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85750"/>
                    </a:xfrm>
                    <a:prstGeom prst="rect">
                      <a:avLst/>
                    </a:prstGeom>
                    <a:noFill/>
                    <a:ln>
                      <a:noFill/>
                    </a:ln>
                  </pic:spPr>
                </pic:pic>
              </a:graphicData>
            </a:graphic>
          </wp:inline>
        </w:drawing>
      </w:r>
      <w:r>
        <w:rPr>
          <w:rFonts w:ascii="Times New Roman" w:hAnsi="Times New Roman" w:cs="Times New Roman"/>
          <w:sz w:val="24"/>
          <w:szCs w:val="24"/>
        </w:rPr>
        <w:t>), рассчитывается по формуле:</w:t>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1"/>
          <w:sz w:val="24"/>
          <w:szCs w:val="24"/>
          <w:lang w:eastAsia="ru-RU"/>
        </w:rPr>
        <w:drawing>
          <wp:inline distT="0" distB="0" distL="0" distR="0">
            <wp:extent cx="1381125" cy="552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i - отчетный период (год);</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0"/>
          <w:sz w:val="24"/>
          <w:szCs w:val="24"/>
          <w:lang w:eastAsia="ru-RU"/>
        </w:rPr>
        <w:drawing>
          <wp:inline distT="0" distB="0" distL="0" distR="0">
            <wp:extent cx="381000" cy="285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 cy="285750"/>
                    </a:xfrm>
                    <a:prstGeom prst="rect">
                      <a:avLst/>
                    </a:prstGeom>
                    <a:noFill/>
                    <a:ln>
                      <a:noFill/>
                    </a:ln>
                  </pic:spPr>
                </pic:pic>
              </a:graphicData>
            </a:graphic>
          </wp:inline>
        </w:drawing>
      </w:r>
      <w:r>
        <w:rPr>
          <w:rFonts w:ascii="Times New Roman" w:hAnsi="Times New Roman" w:cs="Times New Roman"/>
          <w:sz w:val="24"/>
          <w:szCs w:val="24"/>
        </w:rPr>
        <w:t xml:space="preserve"> - просроченная кредиторская задолженность системообразующей территориальной сетевой организации за услуги по передаче электрической энергии, оказанные системообразующей территориальной сетевой организации территориальными сетевыми организациями в административных границах субъекта Российской Федерации, на конец отчетного периода (года) i, млн. рублей;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0"/>
          <w:sz w:val="24"/>
          <w:szCs w:val="24"/>
          <w:lang w:eastAsia="ru-RU"/>
        </w:rPr>
        <w:drawing>
          <wp:inline distT="0" distB="0" distL="0" distR="0">
            <wp:extent cx="457200" cy="285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r>
        <w:rPr>
          <w:rFonts w:ascii="Times New Roman" w:hAnsi="Times New Roman" w:cs="Times New Roman"/>
          <w:sz w:val="24"/>
          <w:szCs w:val="24"/>
        </w:rPr>
        <w:t xml:space="preserve"> - стоимость услуг по передаче электрической энергии (начисления с НДС), оказанных системообразующей территориальной сетевой организации территориальными сетевыми организациями в административных границах субъекта Российской Федерации, в отчетном периоде (году) i, млн. рублей;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дней в отчетном периоде (году) i, дней.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Показатель </w:t>
      </w:r>
      <w:r>
        <w:rPr>
          <w:rFonts w:ascii="Times New Roman" w:hAnsi="Times New Roman" w:cs="Times New Roman"/>
          <w:noProof/>
          <w:position w:val="-10"/>
          <w:sz w:val="24"/>
          <w:szCs w:val="24"/>
          <w:lang w:eastAsia="ru-RU"/>
        </w:rPr>
        <w:drawing>
          <wp:inline distT="0" distB="0" distL="0" distR="0">
            <wp:extent cx="381000" cy="285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85750"/>
                    </a:xfrm>
                    <a:prstGeom prst="rect">
                      <a:avLst/>
                    </a:prstGeom>
                    <a:noFill/>
                    <a:ln>
                      <a:noFill/>
                    </a:ln>
                  </pic:spPr>
                </pic:pic>
              </a:graphicData>
            </a:graphic>
          </wp:inline>
        </w:drawing>
      </w:r>
      <w:r>
        <w:rPr>
          <w:rFonts w:ascii="Times New Roman" w:hAnsi="Times New Roman" w:cs="Times New Roman"/>
          <w:sz w:val="24"/>
          <w:szCs w:val="24"/>
        </w:rPr>
        <w:t xml:space="preserve"> рассчитывается с точностью до целого числа с применением правил математического округления.</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Показатель периода оборота просроченной дебиторской задолженности системообразующей территориальной сетевой организации за услуги по передаче электрической энергии, оказанные потребителям электрической энергии или лицам, действующим в их интересах, в административных границах субъекта Российской Федерации (</w:t>
      </w:r>
      <w:r>
        <w:rPr>
          <w:rFonts w:ascii="Times New Roman" w:hAnsi="Times New Roman" w:cs="Times New Roman"/>
          <w:noProof/>
          <w:position w:val="-10"/>
          <w:sz w:val="24"/>
          <w:szCs w:val="24"/>
          <w:lang w:eastAsia="ru-RU"/>
        </w:rPr>
        <w:drawing>
          <wp:inline distT="0" distB="0" distL="0" distR="0">
            <wp:extent cx="333375" cy="285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Pr>
          <w:rFonts w:ascii="Times New Roman" w:hAnsi="Times New Roman" w:cs="Times New Roman"/>
          <w:sz w:val="24"/>
          <w:szCs w:val="24"/>
        </w:rPr>
        <w:t>), рассчитывается по формуле:</w:t>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1"/>
          <w:sz w:val="24"/>
          <w:szCs w:val="24"/>
          <w:lang w:eastAsia="ru-RU"/>
        </w:rPr>
        <w:drawing>
          <wp:inline distT="0" distB="0" distL="0" distR="0">
            <wp:extent cx="1295400" cy="552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5400" cy="552450"/>
                    </a:xfrm>
                    <a:prstGeom prst="rect">
                      <a:avLst/>
                    </a:prstGeom>
                    <a:noFill/>
                    <a:ln>
                      <a:noFill/>
                    </a:ln>
                  </pic:spPr>
                </pic:pic>
              </a:graphicData>
            </a:graphic>
          </wp:inline>
        </w:drawing>
      </w: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i - отчетный период (год);</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0"/>
          <w:sz w:val="24"/>
          <w:szCs w:val="24"/>
          <w:lang w:eastAsia="ru-RU"/>
        </w:rPr>
        <w:drawing>
          <wp:inline distT="0" distB="0" distL="0" distR="0">
            <wp:extent cx="333375" cy="2857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Pr>
          <w:rFonts w:ascii="Times New Roman" w:hAnsi="Times New Roman" w:cs="Times New Roman"/>
          <w:sz w:val="24"/>
          <w:szCs w:val="24"/>
        </w:rPr>
        <w:t xml:space="preserve"> - просроченная дебиторская задолженность системообразующей территориальной сетевой организации за услуги по передаче электрической энергии, оказанные потребителям электрической энергии или лицам, действующим в их интересах, системообразующей территориальной сетевой организацией в административных границах субъекта Российской Федерации, на конец отчетного периода (года) i, млн. рублей;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0"/>
          <w:sz w:val="24"/>
          <w:szCs w:val="24"/>
          <w:lang w:eastAsia="ru-RU"/>
        </w:rPr>
        <w:drawing>
          <wp:inline distT="0" distB="0" distL="0" distR="0">
            <wp:extent cx="409575" cy="285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 cy="285750"/>
                    </a:xfrm>
                    <a:prstGeom prst="rect">
                      <a:avLst/>
                    </a:prstGeom>
                    <a:noFill/>
                    <a:ln>
                      <a:noFill/>
                    </a:ln>
                  </pic:spPr>
                </pic:pic>
              </a:graphicData>
            </a:graphic>
          </wp:inline>
        </w:drawing>
      </w:r>
      <w:r>
        <w:rPr>
          <w:rFonts w:ascii="Times New Roman" w:hAnsi="Times New Roman" w:cs="Times New Roman"/>
          <w:sz w:val="24"/>
          <w:szCs w:val="24"/>
        </w:rPr>
        <w:t xml:space="preserve"> - стоимость услуг по передаче электрической энергии (начисления с НДС), оказанных потребителям электрической энергии или лицам, действующим в их интересах, системообразующей территориальной сетевой организацией в административных границах субъекта Российской Федерации, в отчетном периоде (году) i, млн. рублей;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количество дней в отчетном периоде (году) i, дней.</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Показатель </w:t>
      </w:r>
      <w:r>
        <w:rPr>
          <w:rFonts w:ascii="Times New Roman" w:hAnsi="Times New Roman" w:cs="Times New Roman"/>
          <w:noProof/>
          <w:position w:val="-10"/>
          <w:sz w:val="24"/>
          <w:szCs w:val="24"/>
          <w:lang w:eastAsia="ru-RU"/>
        </w:rPr>
        <w:drawing>
          <wp:inline distT="0" distB="0" distL="0" distR="0">
            <wp:extent cx="333375" cy="285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Pr>
          <w:rFonts w:ascii="Times New Roman" w:hAnsi="Times New Roman" w:cs="Times New Roman"/>
          <w:sz w:val="24"/>
          <w:szCs w:val="24"/>
        </w:rPr>
        <w:t xml:space="preserve"> рассчитывается с точностью до целого числа с применением правил математического округления.</w:t>
      </w:r>
    </w:p>
    <w:p w:rsidR="00A53F39" w:rsidRDefault="00A53F39" w:rsidP="00A53F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системообразующая территориальная сетевая организация оказывает услуги по передаче электрической энергии в рамках одного договора потребителю электрической энергии или лицу, действующему в его интересах, в административных границах нескольких субъектов Российской Федерации, расчет периода оборота просроченной дебиторской задолженности производится суммарно с учетом данных этих субъектов Российской Федерации.</w:t>
      </w:r>
    </w:p>
    <w:p w:rsidR="00A53F39" w:rsidRDefault="00A53F39" w:rsidP="00A53F39">
      <w:pPr>
        <w:autoSpaceDE w:val="0"/>
        <w:autoSpaceDN w:val="0"/>
        <w:adjustRightInd w:val="0"/>
        <w:spacing w:after="0" w:line="240" w:lineRule="auto"/>
        <w:jc w:val="both"/>
        <w:rPr>
          <w:rFonts w:ascii="Times New Roman" w:hAnsi="Times New Roman" w:cs="Times New Roman"/>
          <w:sz w:val="24"/>
          <w:szCs w:val="24"/>
        </w:rPr>
      </w:pPr>
    </w:p>
    <w:p w:rsidR="00A53F39" w:rsidRDefault="00A53F39" w:rsidP="00A53F39">
      <w:pPr>
        <w:autoSpaceDE w:val="0"/>
        <w:autoSpaceDN w:val="0"/>
        <w:adjustRightInd w:val="0"/>
        <w:spacing w:after="0" w:line="240" w:lineRule="auto"/>
        <w:jc w:val="both"/>
        <w:rPr>
          <w:rFonts w:ascii="Times New Roman" w:hAnsi="Times New Roman" w:cs="Times New Roman"/>
          <w:sz w:val="24"/>
          <w:szCs w:val="24"/>
        </w:rPr>
      </w:pPr>
    </w:p>
    <w:p w:rsidR="00A53F39" w:rsidRDefault="00A53F39" w:rsidP="00A53F39">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4E4DEA" w:rsidRDefault="004E4DEA" w:rsidP="004E4DEA">
      <w:pPr>
        <w:autoSpaceDE w:val="0"/>
        <w:autoSpaceDN w:val="0"/>
        <w:adjustRightInd w:val="0"/>
        <w:spacing w:after="0" w:line="240" w:lineRule="auto"/>
        <w:ind w:firstLine="540"/>
        <w:jc w:val="both"/>
        <w:rPr>
          <w:rFonts w:ascii="Times New Roman" w:hAnsi="Times New Roman" w:cs="Times New Roman"/>
          <w:sz w:val="24"/>
          <w:szCs w:val="24"/>
        </w:rPr>
      </w:pPr>
    </w:p>
    <w:p w:rsidR="004E4DEA" w:rsidRDefault="004E4DEA" w:rsidP="004E4DEA">
      <w:pPr>
        <w:autoSpaceDE w:val="0"/>
        <w:autoSpaceDN w:val="0"/>
        <w:adjustRightInd w:val="0"/>
        <w:spacing w:after="0" w:line="240" w:lineRule="auto"/>
        <w:rPr>
          <w:rFonts w:ascii="Times New Roman" w:hAnsi="Times New Roman" w:cs="Times New Roman"/>
          <w:sz w:val="24"/>
          <w:szCs w:val="24"/>
        </w:rPr>
        <w:sectPr w:rsidR="004E4DEA" w:rsidSect="004E4DEA">
          <w:pgSz w:w="11905" w:h="16838"/>
          <w:pgMar w:top="1134" w:right="851" w:bottom="1134" w:left="1701" w:header="0" w:footer="0" w:gutter="0"/>
          <w:cols w:space="720"/>
          <w:noEndnote/>
        </w:sectPr>
      </w:pPr>
    </w:p>
    <w:p w:rsidR="004E4DEA" w:rsidRDefault="004E4DEA" w:rsidP="004E4DEA">
      <w:pPr>
        <w:autoSpaceDE w:val="0"/>
        <w:autoSpaceDN w:val="0"/>
        <w:adjustRightInd w:val="0"/>
        <w:spacing w:after="0" w:line="240" w:lineRule="auto"/>
        <w:jc w:val="both"/>
        <w:rPr>
          <w:rFonts w:ascii="Times New Roman" w:hAnsi="Times New Roman" w:cs="Times New Roman"/>
          <w:sz w:val="24"/>
          <w:szCs w:val="24"/>
        </w:rPr>
      </w:pPr>
    </w:p>
    <w:sectPr w:rsidR="004E4DEA" w:rsidSect="00273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1142F"/>
    <w:rsid w:val="00252022"/>
    <w:rsid w:val="002565F9"/>
    <w:rsid w:val="00273F7E"/>
    <w:rsid w:val="002D5E24"/>
    <w:rsid w:val="00312071"/>
    <w:rsid w:val="0035761C"/>
    <w:rsid w:val="00407C5F"/>
    <w:rsid w:val="0047400F"/>
    <w:rsid w:val="004E4DEA"/>
    <w:rsid w:val="006B7493"/>
    <w:rsid w:val="006E6ED9"/>
    <w:rsid w:val="007B6F0A"/>
    <w:rsid w:val="00A23EB1"/>
    <w:rsid w:val="00A53F39"/>
    <w:rsid w:val="00B72C76"/>
    <w:rsid w:val="00BA0D62"/>
    <w:rsid w:val="00F7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F31A"/>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5067&amp;dst=648" TargetMode="External"/><Relationship Id="rId13" Type="http://schemas.openxmlformats.org/officeDocument/2006/relationships/hyperlink" Target="https://login.consultant.ru/link/?req=doc&amp;base=LAW&amp;n=485067&amp;dst=984" TargetMode="External"/><Relationship Id="rId18" Type="http://schemas.openxmlformats.org/officeDocument/2006/relationships/image" Target="media/image5.wmf"/><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hyperlink" Target="https://login.consultant.ru/link/?req=doc&amp;base=LAW&amp;n=456122&amp;dst=100017" TargetMode="External"/><Relationship Id="rId12" Type="http://schemas.openxmlformats.org/officeDocument/2006/relationships/hyperlink" Target="https://login.consultant.ru/link/?req=doc&amp;base=LAW&amp;n=485067&amp;dst=101854" TargetMode="External"/><Relationship Id="rId1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styles" Target="styles.xml"/><Relationship Id="rId6" Type="http://schemas.openxmlformats.org/officeDocument/2006/relationships/hyperlink" Target="https://login.consultant.ru/link/?req=doc&amp;base=LAW&amp;n=480783" TargetMode="External"/><Relationship Id="rId11" Type="http://schemas.openxmlformats.org/officeDocument/2006/relationships/hyperlink" Target="https://login.consultant.ru/link/?req=doc&amp;base=LAW&amp;n=480783" TargetMode="External"/><Relationship Id="rId5" Type="http://schemas.openxmlformats.org/officeDocument/2006/relationships/hyperlink" Target="https://login.consultant.ru/link/?req=doc&amp;base=LAW&amp;n=471090" TargetMode="Externa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https://login.consultant.ru/link/?req=doc&amp;base=LAW&amp;n=471090" TargetMode="External"/><Relationship Id="rId19" Type="http://schemas.openxmlformats.org/officeDocument/2006/relationships/image" Target="media/image6.wmf"/><Relationship Id="rId4" Type="http://schemas.openxmlformats.org/officeDocument/2006/relationships/hyperlink" Target="https://login.consultant.ru/link/?req=doc&amp;base=LAW&amp;n=471090&amp;dst=1124" TargetMode="External"/><Relationship Id="rId9" Type="http://schemas.openxmlformats.org/officeDocument/2006/relationships/hyperlink" Target="https://login.consultant.ru/link/?req=doc&amp;base=LAW&amp;n=416437&amp;dst=27"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10</Pages>
  <Words>4016</Words>
  <Characters>22893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12</cp:revision>
  <dcterms:created xsi:type="dcterms:W3CDTF">2023-03-13T08:19:00Z</dcterms:created>
  <dcterms:modified xsi:type="dcterms:W3CDTF">2024-09-18T08:48:00Z</dcterms:modified>
</cp:coreProperties>
</file>